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8"/>
          <w:szCs w:val="48"/>
        </w:rPr>
      </w:pP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lang w:eastAsia="zh-CN"/>
        </w:rPr>
        <w:t>原社会主义学院工程尾款</w:t>
      </w:r>
      <w:r>
        <w:rPr>
          <w:rFonts w:hint="eastAsia" w:ascii="方正小标宋简体" w:hAnsi="方正小标宋简体" w:eastAsia="方正小标宋简体" w:cs="方正小标宋简体"/>
          <w:kern w:val="0"/>
          <w:sz w:val="48"/>
          <w:szCs w:val="48"/>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原社会主义学院工程尾款</w:t>
      </w:r>
    </w:p>
    <w:p>
      <w:pPr>
        <w:spacing w:line="700" w:lineRule="exact"/>
        <w:ind w:firstLine="720" w:firstLineChars="200"/>
        <w:jc w:val="center"/>
        <w:rPr>
          <w:rFonts w:hint="eastAsia" w:hAnsi="宋体" w:eastAsia="仿宋_GB2312" w:cs="宋体"/>
          <w:kern w:val="0"/>
          <w:sz w:val="36"/>
          <w:szCs w:val="36"/>
          <w:lang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塔城地区工会办事处</w:t>
      </w:r>
    </w:p>
    <w:p>
      <w:pPr>
        <w:spacing w:line="700" w:lineRule="exact"/>
        <w:ind w:firstLine="1800" w:firstLineChars="500"/>
        <w:jc w:val="both"/>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董金辉</w:t>
      </w:r>
    </w:p>
    <w:p>
      <w:pPr>
        <w:spacing w:line="700" w:lineRule="exact"/>
        <w:ind w:firstLine="1800" w:firstLineChars="500"/>
        <w:jc w:val="both"/>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8"/>
          <w:rFonts w:ascii="黑体" w:hAnsi="黑体" w:eastAsia="黑体"/>
          <w:b w:val="0"/>
          <w:spacing w:val="-4"/>
          <w:sz w:val="32"/>
          <w:szCs w:val="32"/>
        </w:rPr>
      </w:pPr>
    </w:p>
    <w:p>
      <w:pPr>
        <w:pStyle w:val="2"/>
      </w:pPr>
    </w:p>
    <w:p>
      <w:pPr>
        <w:spacing w:line="540" w:lineRule="exact"/>
        <w:ind w:firstLine="640"/>
        <w:rPr>
          <w:rStyle w:val="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keepNext w:val="0"/>
        <w:keepLines w:val="0"/>
        <w:pageBreakBefore w:val="0"/>
        <w:kinsoku/>
        <w:wordWrap/>
        <w:overflowPunct/>
        <w:topLinePunct w:val="0"/>
        <w:autoSpaceDE/>
        <w:autoSpaceDN/>
        <w:bidi w:val="0"/>
        <w:adjustRightInd/>
        <w:spacing w:line="560" w:lineRule="exac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根据塔地财经办〔</w:t>
      </w:r>
      <w:r>
        <w:rPr>
          <w:rFonts w:hint="eastAsia" w:ascii="仿宋_GB2312" w:hAnsi="仿宋_GB2312" w:eastAsia="仿宋_GB2312" w:cs="仿宋_GB2312"/>
          <w:sz w:val="32"/>
          <w:szCs w:val="32"/>
          <w:lang w:val="en-US" w:eastAsia="zh-CN"/>
        </w:rPr>
        <w:t>2018〕56号文《关于社会主义学院原综合楼工程资产划拨的通知》，经地委财经领导小组2018年第三次会议研究决定，会议同意将社会主义学院综合楼、学员宿舍、门面房及债务14.08万元一并划转给工会，所欠工程款由房租收入偿付。在2020年我单位向财政部门申请返还非税收入房屋出租费资金5.2万元，资金于2020年9月拨付到位，主要用于归还原社会主义学院所欠工程尾款。</w:t>
      </w:r>
    </w:p>
    <w:p>
      <w:pPr>
        <w:pStyle w:val="2"/>
        <w:keepNext w:val="0"/>
        <w:keepLines w:val="0"/>
        <w:pageBreakBefore w:val="0"/>
        <w:numPr>
          <w:ilvl w:val="0"/>
          <w:numId w:val="1"/>
        </w:numPr>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keepNext w:val="0"/>
        <w:keepLines w:val="0"/>
        <w:pageBreakBefore w:val="0"/>
        <w:kinsoku/>
        <w:wordWrap/>
        <w:overflowPunct/>
        <w:topLinePunct w:val="0"/>
        <w:autoSpaceDE/>
        <w:autoSpaceDN/>
        <w:bidi w:val="0"/>
        <w:adjustRightInd/>
        <w:spacing w:line="560" w:lineRule="exact"/>
        <w:ind w:firstLine="640" w:firstLineChars="200"/>
        <w:contextualSpacing/>
        <w:textAlignment w:val="auto"/>
        <w:rPr>
          <w:rStyle w:val="8"/>
          <w:rFonts w:ascii="黑体" w:hAnsi="黑体" w:eastAsia="黑体"/>
          <w:bCs w:val="0"/>
          <w:spacing w:val="-4"/>
          <w:sz w:val="32"/>
          <w:szCs w:val="32"/>
        </w:rPr>
      </w:pPr>
      <w:r>
        <w:rPr>
          <w:rFonts w:hint="eastAsia" w:ascii="仿宋_GB2312" w:hAnsi="仿宋_GB2312" w:eastAsia="仿宋_GB2312" w:cs="仿宋_GB2312"/>
          <w:sz w:val="32"/>
          <w:szCs w:val="32"/>
          <w:lang w:eastAsia="zh-CN"/>
        </w:rPr>
        <w:t>此项目是</w:t>
      </w:r>
      <w:r>
        <w:rPr>
          <w:rFonts w:hint="eastAsia" w:ascii="仿宋_GB2312" w:hAnsi="仿宋_GB2312" w:eastAsia="仿宋_GB2312" w:cs="仿宋_GB2312"/>
          <w:sz w:val="32"/>
          <w:szCs w:val="32"/>
          <w:lang w:val="en-US" w:eastAsia="zh-CN"/>
        </w:rPr>
        <w:t>2006年的项目，工程早已完工并投入使用，目前只剩工程尾款未支付，本年财政拨款5.2的万元，已全部用于支付工程尾款。</w:t>
      </w:r>
    </w:p>
    <w:p>
      <w:pPr>
        <w:keepNext w:val="0"/>
        <w:keepLines w:val="0"/>
        <w:pageBreakBefore w:val="0"/>
        <w:numPr>
          <w:ilvl w:val="0"/>
          <w:numId w:val="2"/>
        </w:numPr>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keepNext w:val="0"/>
        <w:keepLines w:val="0"/>
        <w:pageBreakBefore w:val="0"/>
        <w:kinsoku/>
        <w:wordWrap/>
        <w:overflowPunct/>
        <w:topLinePunct w:val="0"/>
        <w:autoSpaceDE/>
        <w:autoSpaceDN/>
        <w:bidi w:val="0"/>
        <w:adjustRightInd/>
        <w:spacing w:line="560" w:lineRule="exac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项目主要内容：完成原社会主义学院所欠工程尾款。</w:t>
      </w:r>
    </w:p>
    <w:p>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万元，支出率为100%。</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5.2万</w:t>
      </w:r>
      <w:r>
        <w:rPr>
          <w:rFonts w:hint="eastAsia" w:ascii="仿宋_GB2312" w:hAnsi="仿宋_GB2312" w:eastAsia="仿宋_GB2312" w:cs="仿宋_GB2312"/>
          <w:sz w:val="32"/>
          <w:szCs w:val="32"/>
        </w:rPr>
        <w:t>元，按照《</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资金管理办法》及单位财务制度等相关规定，资金支出符合专项资金费用范围，做到了专款专用。在项目资金拨付和使用过程中，为确保项目资金的安全性，提高项目资金使用效率，严格遵循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资金的拨付程序，</w:t>
      </w:r>
      <w:r>
        <w:rPr>
          <w:rFonts w:hint="eastAsia" w:ascii="仿宋_GB2312" w:hAnsi="仿宋_GB2312" w:eastAsia="仿宋_GB2312" w:cs="仿宋_GB2312"/>
          <w:sz w:val="32"/>
          <w:szCs w:val="32"/>
          <w:lang w:eastAsia="zh-CN"/>
        </w:rPr>
        <w:t>专款专用原则，</w:t>
      </w:r>
      <w:r>
        <w:rPr>
          <w:rFonts w:hint="eastAsia" w:ascii="仿宋_GB2312" w:hAnsi="仿宋_GB2312" w:eastAsia="仿宋_GB2312" w:cs="仿宋_GB2312"/>
          <w:sz w:val="32"/>
          <w:szCs w:val="32"/>
        </w:rPr>
        <w:t>认真审核项目实施各阶段的相关材料和手续，根据项目实施进展情况拨付</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keepNext w:val="0"/>
        <w:keepLines w:val="0"/>
        <w:pageBreakBefore w:val="0"/>
        <w:kinsoku/>
        <w:wordWrap/>
        <w:overflowPunct/>
        <w:topLinePunct w:val="0"/>
        <w:autoSpaceDE/>
        <w:autoSpaceDN/>
        <w:bidi w:val="0"/>
        <w:adjustRightInd/>
        <w:snapToGrid w:val="0"/>
        <w:spacing w:before="0" w:after="0" w:line="560" w:lineRule="exact"/>
        <w:ind w:firstLine="640" w:firstLineChars="200"/>
        <w:jc w:val="both"/>
        <w:textAlignment w:val="auto"/>
        <w:outlineLvl w:val="9"/>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项目预算资金来源于塔财预[2020]0609号文件中批复的资金，项目资金到位</w:t>
      </w:r>
      <w:r>
        <w:rPr>
          <w:rFonts w:hint="eastAsia" w:ascii="仿宋_GB2312" w:hAnsi="仿宋_GB2312" w:eastAsia="仿宋_GB2312" w:cs="仿宋_GB2312"/>
          <w:b w:val="0"/>
          <w:bCs w:val="0"/>
          <w:kern w:val="2"/>
          <w:lang w:val="en-US" w:eastAsia="zh-CN"/>
        </w:rPr>
        <w:t>5.2</w:t>
      </w:r>
      <w:r>
        <w:rPr>
          <w:rFonts w:hint="eastAsia" w:ascii="仿宋_GB2312" w:hAnsi="仿宋_GB2312" w:eastAsia="仿宋_GB2312" w:cs="仿宋_GB2312"/>
          <w:b w:val="0"/>
          <w:bCs w:val="0"/>
          <w:kern w:val="2"/>
        </w:rPr>
        <w:t>万元，用于支付</w:t>
      </w:r>
      <w:r>
        <w:rPr>
          <w:rFonts w:hint="eastAsia" w:ascii="仿宋_GB2312" w:hAnsi="仿宋_GB2312" w:eastAsia="仿宋_GB2312" w:cs="仿宋_GB2312"/>
          <w:b w:val="0"/>
          <w:bCs w:val="0"/>
          <w:kern w:val="2"/>
          <w:lang w:eastAsia="zh-CN"/>
        </w:rPr>
        <w:t>原社会主义学院工程尾款</w:t>
      </w:r>
      <w:r>
        <w:rPr>
          <w:rFonts w:hint="eastAsia" w:ascii="仿宋_GB2312" w:hAnsi="仿宋_GB2312" w:eastAsia="仿宋_GB2312" w:cs="仿宋_GB2312"/>
          <w:b w:val="0"/>
          <w:bCs w:val="0"/>
          <w:kern w:val="2"/>
        </w:rPr>
        <w:t>。</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9"/>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lang w:val="en-US" w:eastAsia="zh-CN"/>
        </w:rPr>
        <w:t>社会主义学院原综合楼就是为了</w:t>
      </w:r>
      <w:r>
        <w:rPr>
          <w:rFonts w:hint="eastAsia" w:ascii="仿宋_GB2312" w:hAnsi="仿宋_GB2312" w:eastAsia="仿宋_GB2312" w:cs="仿宋_GB2312"/>
          <w:kern w:val="2"/>
          <w:sz w:val="32"/>
          <w:szCs w:val="32"/>
          <w:lang w:val="en-US" w:eastAsia="zh-CN" w:bidi="ar-SA"/>
        </w:rPr>
        <w:t>改善城市环境，树立城市形象，提高城市品位，完善城市功能的需要，解决了场 地设施的简陋与严重不足，并将其配套服务提高一个新的水平，更好地满足人民群众日益增长的文化需求，为城市框架，提升城市的品位，扩大对外开放等方面起到积极作用，有着显著的社会效益。</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eastAsia="zh-CN"/>
        </w:rPr>
        <w:t>塔地财经办〔</w:t>
      </w:r>
      <w:r>
        <w:rPr>
          <w:rFonts w:hint="eastAsia" w:ascii="仿宋_GB2312" w:hAnsi="仿宋_GB2312" w:eastAsia="仿宋_GB2312" w:cs="仿宋_GB2312"/>
          <w:sz w:val="32"/>
          <w:szCs w:val="32"/>
          <w:lang w:val="en-US" w:eastAsia="zh-CN"/>
        </w:rPr>
        <w:t>2018〕56号文《关于社会主义学院原综合楼工程资产划拨的通知》，</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向财政部门申请资金</w:t>
      </w: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财政部门</w:t>
      </w:r>
      <w:r>
        <w:rPr>
          <w:rFonts w:hint="eastAsia" w:ascii="仿宋_GB2312" w:hAnsi="仿宋_GB2312" w:eastAsia="仿宋_GB2312" w:cs="仿宋_GB2312"/>
          <w:sz w:val="32"/>
          <w:szCs w:val="32"/>
        </w:rPr>
        <w:t>负责人审核通过后，有序开展后续工程。</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（2）组织实施：资金一到位，逐一进行项目部署安排，</w:t>
      </w:r>
      <w:r>
        <w:rPr>
          <w:rFonts w:hint="eastAsia" w:ascii="仿宋_GB2312" w:hAnsi="仿宋_GB2312" w:eastAsia="仿宋_GB2312" w:cs="仿宋_GB2312"/>
          <w:sz w:val="32"/>
          <w:szCs w:val="32"/>
          <w:lang w:eastAsia="zh-CN"/>
        </w:rPr>
        <w:t>先联系建筑企业方，提供工程尾款发票，再向财务负责的领导审批，按照专款专用原则，完成支付任务</w:t>
      </w:r>
      <w:r>
        <w:rPr>
          <w:rFonts w:hint="eastAsia" w:ascii="仿宋_GB2312" w:hAnsi="仿宋_GB2312" w:eastAsia="仿宋_GB2312" w:cs="仿宋_GB2312"/>
          <w:sz w:val="32"/>
          <w:szCs w:val="32"/>
        </w:rPr>
        <w:t>提高项目质量及效率性。</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ascii="黑体" w:hAnsi="黑体" w:eastAsia="黑体" w:cs="黑体"/>
          <w:b/>
          <w:bCs/>
          <w:i w:val="0"/>
          <w:iCs w:val="0"/>
          <w:sz w:val="32"/>
          <w:szCs w:val="32"/>
        </w:rPr>
      </w:pPr>
      <w:r>
        <w:rPr>
          <w:rFonts w:hint="eastAsia" w:ascii="黑体" w:hAnsi="黑体" w:eastAsia="黑体" w:cs="黑体"/>
          <w:b/>
          <w:bCs/>
          <w:i w:val="0"/>
          <w:iCs w:val="0"/>
          <w:sz w:val="32"/>
          <w:szCs w:val="32"/>
        </w:rPr>
        <w:t>二、评价工作开展情况</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评价目的：</w:t>
      </w:r>
      <w:r>
        <w:rPr>
          <w:rFonts w:hint="eastAsia" w:ascii="仿宋_GB2312" w:hAnsi="仿宋_GB2312" w:eastAsia="仿宋_GB2312" w:cs="仿宋_GB2312"/>
          <w:sz w:val="32"/>
          <w:szCs w:val="32"/>
        </w:rPr>
        <w:t>绩效评价旨在通过评价改善预算部门的财政支出管理，优化资源配置及提高公共服务水平。本次绩效评价遵循自治区财政厅《自治区本级财政支出绩效评价管理暂行办法》（新财预〔2018〕188号）和《关于印发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自治区全面实施预算绩效管理的工作方案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的通知》（新财预〔2018〕158号）</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sz w:val="32"/>
          <w:szCs w:val="32"/>
        </w:rPr>
        <w:t>《关于印发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塔城地区项目支出绩效评价管理办法〉</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val="en-US" w:eastAsia="zh-CN"/>
        </w:rPr>
        <w:t>塔地</w:t>
      </w:r>
      <w:r>
        <w:rPr>
          <w:rFonts w:hint="eastAsia" w:ascii="仿宋_GB2312" w:hAnsi="仿宋_GB2312" w:eastAsia="仿宋_GB2312" w:cs="仿宋_GB2312"/>
          <w:sz w:val="32"/>
          <w:szCs w:val="32"/>
        </w:rPr>
        <w:t>财预</w:t>
      </w:r>
      <w:r>
        <w:rPr>
          <w:rFonts w:hint="eastAsia" w:ascii="仿宋_GB2312" w:hAnsi="仿宋_GB2312" w:eastAsia="仿宋_GB2312" w:cs="仿宋_GB2312"/>
          <w:sz w:val="32"/>
          <w:szCs w:val="32"/>
          <w:lang w:val="en-US" w:eastAsia="zh-CN"/>
        </w:rPr>
        <w:t>[2020]0609号文</w:t>
      </w:r>
      <w:r>
        <w:rPr>
          <w:rFonts w:hint="eastAsia" w:ascii="仿宋_GB2312" w:hAnsi="仿宋_GB2312" w:eastAsia="仿宋_GB2312" w:cs="仿宋_GB2312"/>
          <w:sz w:val="32"/>
          <w:szCs w:val="32"/>
        </w:rPr>
        <w:t>件精神，对地区</w:t>
      </w:r>
      <w:r>
        <w:rPr>
          <w:rFonts w:hint="eastAsia" w:ascii="仿宋_GB2312" w:hAnsi="仿宋_GB2312" w:eastAsia="仿宋_GB2312" w:cs="仿宋_GB2312"/>
          <w:sz w:val="32"/>
          <w:szCs w:val="32"/>
          <w:lang w:eastAsia="zh-CN"/>
        </w:rPr>
        <w:t>工会办事处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原社会主义学院工程尾款</w:t>
      </w:r>
      <w:r>
        <w:rPr>
          <w:rFonts w:hint="eastAsia" w:ascii="仿宋_GB2312" w:hAnsi="仿宋_GB2312" w:eastAsia="仿宋_GB2312" w:cs="仿宋_GB2312"/>
          <w:sz w:val="32"/>
          <w:szCs w:val="32"/>
        </w:rPr>
        <w:t>项目进行绩效评价，参照《地区</w:t>
      </w:r>
      <w:r>
        <w:rPr>
          <w:rFonts w:hint="eastAsia" w:ascii="仿宋_GB2312" w:hAnsi="仿宋_GB2312" w:eastAsia="仿宋_GB2312" w:cs="仿宋_GB2312"/>
          <w:sz w:val="32"/>
          <w:szCs w:val="32"/>
          <w:lang w:eastAsia="zh-CN"/>
        </w:rPr>
        <w:t>工会</w:t>
      </w:r>
      <w:r>
        <w:rPr>
          <w:rFonts w:hint="eastAsia" w:ascii="仿宋_GB2312" w:hAnsi="仿宋_GB2312" w:eastAsia="仿宋_GB2312" w:cs="仿宋_GB2312"/>
          <w:sz w:val="32"/>
          <w:szCs w:val="32"/>
        </w:rPr>
        <w:t>财务管理制度》等相关政策文件与规定，</w:t>
      </w:r>
      <w:r>
        <w:rPr>
          <w:rFonts w:hint="eastAsia" w:ascii="仿宋_GB2312" w:hAnsi="仿宋_GB2312" w:eastAsia="仿宋_GB2312" w:cs="仿宋_GB2312"/>
          <w:sz w:val="32"/>
          <w:szCs w:val="32"/>
          <w:lang w:eastAsia="zh-CN"/>
        </w:rPr>
        <w:t>严格按照专款专用原则，对项目资金进行支付。</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w:t>
      </w:r>
      <w:r>
        <w:rPr>
          <w:rFonts w:hint="eastAsia" w:ascii="仿宋_GB2312" w:hAnsi="仿宋_GB2312" w:eastAsia="仿宋_GB2312" w:cs="仿宋_GB2312"/>
          <w:sz w:val="32"/>
          <w:szCs w:val="32"/>
        </w:rPr>
        <w:t>评价对象为</w:t>
      </w:r>
      <w:r>
        <w:rPr>
          <w:rFonts w:hint="eastAsia" w:ascii="仿宋_GB2312" w:hAnsi="仿宋_GB2312" w:eastAsia="仿宋_GB2312" w:cs="仿宋_GB2312"/>
          <w:sz w:val="32"/>
          <w:szCs w:val="32"/>
          <w:lang w:eastAsia="zh-CN"/>
        </w:rPr>
        <w:t>原社会主义学院工程尾款</w:t>
      </w:r>
      <w:r>
        <w:rPr>
          <w:rFonts w:hint="eastAsia" w:ascii="仿宋_GB2312" w:hAnsi="仿宋_GB2312" w:eastAsia="仿宋_GB2312" w:cs="仿宋_GB2312"/>
          <w:sz w:val="32"/>
          <w:szCs w:val="32"/>
        </w:rPr>
        <w:t>项目，评价核心为专项资金的支出完成情况和效果。</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评价范围：</w:t>
      </w: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本次评价从项目决策（包括绩效目标、决策过程）、项目管理（包括项目资金、项目实施）、项目产出（包括项目产出数量、产出质量、产出时效和产出成本）项目效益四个维度进行评价</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（二）绩效评价原则、绩效评价指标体系、评价方法、评价标准</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1、本次绩效评价主要遵循以下原则：</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（4）公开透明。绩效评价结果依法依规公开，并自觉接受社会监督。</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2、绩效评价指标体系</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本次绩效评价指标体系主要分为共性指标和个性指标两大类。共性指标下设决策与</w:t>
      </w:r>
      <w:r>
        <w:rPr>
          <w:rFonts w:hint="eastAsia" w:ascii="仿宋_GB2312" w:hAnsi="仿宋_GB2312" w:eastAsia="仿宋_GB2312" w:cs="仿宋_GB2312"/>
          <w:sz w:val="32"/>
          <w:szCs w:val="32"/>
          <w:lang w:val="en-US" w:eastAsia="zh-CN"/>
        </w:rPr>
        <w:t>过程</w:t>
      </w:r>
      <w:r>
        <w:rPr>
          <w:rFonts w:hint="eastAsia" w:ascii="仿宋_GB2312" w:hAnsi="仿宋_GB2312" w:eastAsia="仿宋_GB2312" w:cs="仿宋_GB2312"/>
          <w:sz w:val="32"/>
          <w:szCs w:val="32"/>
        </w:rPr>
        <w:t>管理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1个二级指标。项目绩效评价指标体系详见下表：</w:t>
      </w:r>
    </w:p>
    <w:p>
      <w:pPr>
        <w:pStyle w:val="2"/>
        <w:keepNext w:val="0"/>
        <w:keepLines w:val="0"/>
        <w:pageBreakBefore w:val="0"/>
        <w:kinsoku/>
        <w:wordWrap/>
        <w:overflowPunct/>
        <w:topLinePunct w:val="0"/>
        <w:autoSpaceDE/>
        <w:autoSpaceDN/>
        <w:bidi w:val="0"/>
        <w:adjustRightInd/>
        <w:spacing w:before="0" w:after="0" w:line="560" w:lineRule="exact"/>
        <w:rPr>
          <w:rFonts w:hint="eastAsia"/>
        </w:rPr>
      </w:pPr>
    </w:p>
    <w:tbl>
      <w:tblPr>
        <w:tblStyle w:val="6"/>
        <w:tblW w:w="8709" w:type="dxa"/>
        <w:tblInd w:w="0" w:type="dxa"/>
        <w:tblLayout w:type="fixed"/>
        <w:tblCellMar>
          <w:top w:w="0" w:type="dxa"/>
          <w:left w:w="0" w:type="dxa"/>
          <w:bottom w:w="0" w:type="dxa"/>
          <w:right w:w="0" w:type="dxa"/>
        </w:tblCellMar>
      </w:tblPr>
      <w:tblGrid>
        <w:gridCol w:w="1435"/>
        <w:gridCol w:w="1058"/>
        <w:gridCol w:w="1436"/>
        <w:gridCol w:w="3649"/>
        <w:gridCol w:w="1131"/>
      </w:tblGrid>
      <w:tr>
        <w:tblPrEx>
          <w:tblCellMar>
            <w:top w:w="0" w:type="dxa"/>
            <w:left w:w="0" w:type="dxa"/>
            <w:bottom w:w="0" w:type="dxa"/>
            <w:right w:w="0" w:type="dxa"/>
          </w:tblCellMar>
        </w:tblPrEx>
        <w:trPr>
          <w:trHeight w:val="590" w:hRule="atLeast"/>
        </w:trPr>
        <w:tc>
          <w:tcPr>
            <w:tcW w:w="143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b/>
                <w:color w:val="000000"/>
                <w:sz w:val="22"/>
                <w:szCs w:val="22"/>
              </w:rPr>
            </w:pPr>
            <w:r>
              <w:rPr>
                <w:rFonts w:hint="eastAsia" w:ascii="宋体" w:hAnsi="宋体" w:cs="宋体"/>
                <w:b/>
                <w:color w:val="000000"/>
                <w:kern w:val="0"/>
                <w:sz w:val="22"/>
                <w:szCs w:val="22"/>
              </w:rPr>
              <w:t>一级指标</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b/>
                <w:color w:val="000000"/>
                <w:sz w:val="22"/>
                <w:szCs w:val="22"/>
              </w:rPr>
            </w:pPr>
            <w:r>
              <w:rPr>
                <w:rFonts w:hint="eastAsia" w:ascii="宋体" w:hAnsi="宋体" w:cs="宋体"/>
                <w:b/>
                <w:color w:val="000000"/>
                <w:kern w:val="0"/>
                <w:sz w:val="22"/>
                <w:szCs w:val="22"/>
              </w:rPr>
              <w:t>二级指标</w:t>
            </w:r>
          </w:p>
        </w:tc>
        <w:tc>
          <w:tcPr>
            <w:tcW w:w="143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b/>
                <w:color w:val="000000"/>
                <w:sz w:val="22"/>
                <w:szCs w:val="22"/>
              </w:rPr>
            </w:pPr>
            <w:r>
              <w:rPr>
                <w:rFonts w:hint="eastAsia" w:ascii="宋体" w:hAnsi="宋体" w:cs="宋体"/>
                <w:b/>
                <w:color w:val="000000"/>
                <w:kern w:val="0"/>
                <w:sz w:val="22"/>
                <w:szCs w:val="22"/>
              </w:rPr>
              <w:t>三级指标</w:t>
            </w:r>
          </w:p>
        </w:tc>
        <w:tc>
          <w:tcPr>
            <w:tcW w:w="36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b/>
                <w:color w:val="000000"/>
                <w:sz w:val="22"/>
                <w:szCs w:val="22"/>
              </w:rPr>
            </w:pPr>
            <w:r>
              <w:rPr>
                <w:rFonts w:hint="eastAsia" w:ascii="宋体" w:hAnsi="宋体" w:cs="宋体"/>
                <w:b/>
                <w:color w:val="000000"/>
                <w:kern w:val="0"/>
                <w:sz w:val="22"/>
                <w:szCs w:val="22"/>
              </w:rPr>
              <w:t>指标解释</w:t>
            </w:r>
          </w:p>
        </w:tc>
        <w:tc>
          <w:tcPr>
            <w:tcW w:w="1131"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b/>
                <w:color w:val="000000"/>
                <w:sz w:val="22"/>
                <w:szCs w:val="22"/>
              </w:rPr>
            </w:pPr>
            <w:r>
              <w:rPr>
                <w:rFonts w:hint="eastAsia" w:ascii="宋体" w:hAnsi="宋体" w:cs="宋体"/>
                <w:b/>
                <w:color w:val="000000"/>
                <w:kern w:val="0"/>
                <w:sz w:val="22"/>
                <w:szCs w:val="22"/>
              </w:rPr>
              <w:t>分值</w:t>
            </w:r>
          </w:p>
        </w:tc>
      </w:tr>
      <w:tr>
        <w:tblPrEx>
          <w:tblCellMar>
            <w:top w:w="0" w:type="dxa"/>
            <w:left w:w="0" w:type="dxa"/>
            <w:bottom w:w="0" w:type="dxa"/>
            <w:right w:w="0" w:type="dxa"/>
          </w:tblCellMar>
        </w:tblPrEx>
        <w:trPr>
          <w:trHeight w:val="312" w:hRule="atLeast"/>
        </w:trPr>
        <w:tc>
          <w:tcPr>
            <w:tcW w:w="143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val="0"/>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决策（20）</w:t>
            </w: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项目立项（10）</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立项依据充分性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项目立项是否符合法律法规、相关政策、发展规划以及部门职责，用以反映和考核项目立项依据情况。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立项程序规范性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项目申请、设立过程是否符合相关要求，用以反映和考核项目立项的规范情况。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ascii="宋体" w:hAnsi="宋体" w:cs="宋体"/>
                <w:color w:val="000000"/>
                <w:sz w:val="18"/>
                <w:szCs w:val="18"/>
              </w:rPr>
            </w:pP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绩效目标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绩效目标合理性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both"/>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项目所设定的绩效目标是否依据充分，是否符合客观实际，用以反映和考核项目绩效目标与项目实施的相符情况。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3</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绩效指标明确性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依据绩效目标设定的绩效指标是否清晰、细化、可衡量等，用以反映和考核项目绩效目标的明细化情况。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2</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资金投入</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　　</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预算编制科学性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项目预算编制是否经过科学论证、有明确标准，资金额度与年度目标是否相适应，用以反映和考核项目预算编制的科学性、合理性情况。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2</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资金分配合理性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项目预算资金分配是否有测算依据，与补助单位或地方实际是否相适应，用以反映和考核项目预算资金分配的科学性、合理性情况。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3</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过程（20）</w:t>
            </w:r>
          </w:p>
        </w:tc>
        <w:tc>
          <w:tcPr>
            <w:tcW w:w="1058"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资金管理（</w:t>
            </w:r>
            <w:r>
              <w:rPr>
                <w:rFonts w:hint="eastAsia" w:ascii="宋体" w:hAnsi="宋体" w:cs="宋体"/>
                <w:color w:val="000000"/>
                <w:kern w:val="0"/>
                <w:sz w:val="18"/>
                <w:szCs w:val="18"/>
                <w:lang w:val="en-US" w:eastAsia="zh-CN"/>
              </w:rPr>
              <w:t>12</w:t>
            </w:r>
            <w:r>
              <w:rPr>
                <w:rFonts w:hint="eastAsia" w:ascii="宋体" w:hAnsi="宋体" w:cs="宋体"/>
                <w:color w:val="000000"/>
                <w:kern w:val="0"/>
                <w:sz w:val="18"/>
                <w:szCs w:val="18"/>
              </w:rPr>
              <w:t>）</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资金到位率（4）</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实际到位资金与预算资金的比率，用以反映和考核资金落实情况对项目实施的总体保障程度。</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预算执行率（4）</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项目预算资金是否按照计划执行，用以反映或考核项目预算执行情况。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资金使用合规性（4）</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项目资金使用是否符合相关的财务管理制度规定，用以反映和考核项目资金的规范运行情况。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组织实施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管理制度健全性（4）</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项目实施单位的财务和业务管理制度是否健全，用以反映和考核财务和业务管理制度对项目顺利实施的保障情况。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制度执行有效性（4）</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项目实施是否符合相关管理规定，用以反映和考核相关管理制度的有效执行情况。</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产出（40）</w:t>
            </w: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产出数量（10）</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项目实施的实际产出数与计划产出数的比率，用以反映和考核项目产出数量目标的实现程度。</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产出质量（10）</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质量达标率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项目完成的质量达标产出数与实际产出数的比率，用以反映和考核项目产出质量目标的实现程度。</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tblPrEx>
          <w:tblCellMar>
            <w:top w:w="0" w:type="dxa"/>
            <w:left w:w="0" w:type="dxa"/>
            <w:bottom w:w="0" w:type="dxa"/>
            <w:right w:w="0" w:type="dxa"/>
          </w:tblCellMar>
        </w:tblPrEx>
        <w:trPr>
          <w:trHeight w:val="590"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产出时效（10）</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完成及时性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项目实际完成时间与计划完成时间的比较，用以反映和考核项目产出时效目标的实现程度。</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产出成本（10）</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成本节约率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364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完成项目计划工作目标的实际节约成本与计划成本的比率，用以反映和考核项目的成本节约程度。</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364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r>
      <w:tr>
        <w:tblPrEx>
          <w:tblCellMar>
            <w:top w:w="0" w:type="dxa"/>
            <w:left w:w="0" w:type="dxa"/>
            <w:bottom w:w="0" w:type="dxa"/>
            <w:right w:w="0" w:type="dxa"/>
          </w:tblCellMar>
        </w:tblPrEx>
        <w:trPr>
          <w:trHeight w:val="575" w:hRule="atLeast"/>
        </w:trPr>
        <w:tc>
          <w:tcPr>
            <w:tcW w:w="143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效益（20）</w:t>
            </w: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项目效益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（20）</w:t>
            </w:r>
          </w:p>
        </w:tc>
        <w:tc>
          <w:tcPr>
            <w:tcW w:w="143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实施效益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（15）</w:t>
            </w:r>
          </w:p>
        </w:tc>
        <w:tc>
          <w:tcPr>
            <w:tcW w:w="36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项目实施所产生的效益。</w:t>
            </w:r>
          </w:p>
        </w:tc>
        <w:tc>
          <w:tcPr>
            <w:tcW w:w="1131"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r>
      <w:tr>
        <w:tblPrEx>
          <w:tblCellMar>
            <w:top w:w="0" w:type="dxa"/>
            <w:left w:w="0" w:type="dxa"/>
            <w:bottom w:w="0" w:type="dxa"/>
            <w:right w:w="0" w:type="dxa"/>
          </w:tblCellMar>
        </w:tblPrEx>
        <w:trPr>
          <w:trHeight w:val="575" w:hRule="atLeast"/>
        </w:trPr>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pacing w:line="560" w:lineRule="exact"/>
              <w:jc w:val="center"/>
              <w:rPr>
                <w:rFonts w:ascii="宋体" w:hAnsi="宋体" w:cs="宋体"/>
                <w:color w:val="000000"/>
                <w:sz w:val="18"/>
                <w:szCs w:val="18"/>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36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textAlignment w:val="center"/>
              <w:rPr>
                <w:rFonts w:ascii="宋体" w:hAnsi="宋体" w:cs="宋体"/>
                <w:color w:val="000000"/>
                <w:sz w:val="18"/>
                <w:szCs w:val="18"/>
              </w:rPr>
            </w:pPr>
            <w:r>
              <w:rPr>
                <w:rFonts w:hint="eastAsia" w:ascii="宋体" w:hAnsi="宋体" w:cs="宋体"/>
                <w:color w:val="000000"/>
                <w:kern w:val="0"/>
                <w:sz w:val="18"/>
                <w:szCs w:val="18"/>
              </w:rPr>
              <w:t>社会公众或服务对象对项目实施效果的满意程度。</w:t>
            </w:r>
          </w:p>
        </w:tc>
        <w:tc>
          <w:tcPr>
            <w:tcW w:w="1131"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r>
    </w:tbl>
    <w:p>
      <w:pPr>
        <w:keepNext w:val="0"/>
        <w:keepLines w:val="0"/>
        <w:pageBreakBefore w:val="0"/>
        <w:kinsoku/>
        <w:wordWrap/>
        <w:overflowPunct/>
        <w:topLinePunct w:val="0"/>
        <w:autoSpaceDE/>
        <w:autoSpaceDN/>
        <w:bidi w:val="0"/>
        <w:adjustRightInd/>
        <w:spacing w:line="56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3、绩效评价标准</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绩效评价标准通常包括计划标准、行业标准、历史标准等，用于对绩效指标完成情况进行比较。本次评价主要采用了计划标准和行业标准。</w:t>
      </w:r>
    </w:p>
    <w:p>
      <w:pPr>
        <w:keepNext w:val="0"/>
        <w:keepLines w:val="0"/>
        <w:pageBreakBefore w:val="0"/>
        <w:kinsoku/>
        <w:wordWrap/>
        <w:overflowPunct/>
        <w:topLinePunct w:val="0"/>
        <w:autoSpaceDE/>
        <w:autoSpaceDN/>
        <w:bidi w:val="0"/>
        <w:adjustRightInd/>
        <w:spacing w:line="56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4、评价方法</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绩效评价方法主要包括成本效益分析法、比较法、因素分析法、最低成本法、公众评判法、标杆管理法等。针对本项目，在评价过程中主要采用了成本效益分析法、最低成本法。</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（三）绩效评价工作过程</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自评价项目启动以来，项目组充分准备，了解项目的实施情况、资金使用情况，完成了项目绩效评价工作方案，明确了评价的目的、方法、原</w:t>
      </w:r>
      <w:bookmarkStart w:id="2" w:name="_GoBack"/>
      <w:bookmarkEnd w:id="2"/>
      <w:r>
        <w:rPr>
          <w:rFonts w:hint="eastAsia" w:ascii="仿宋_GB2312" w:hAnsi="仿宋_GB2312" w:eastAsia="仿宋_GB2312" w:cs="仿宋_GB2312"/>
          <w:sz w:val="32"/>
          <w:szCs w:val="32"/>
        </w:rPr>
        <w:t>则、指标、标准等。项目评价期间，项目组严格按照工作方案，经过数据采集及数据复核、数据分析和报告撰写等环节，顺利完成了塔城地区</w:t>
      </w:r>
      <w:r>
        <w:rPr>
          <w:rFonts w:hint="eastAsia" w:ascii="仿宋_GB2312" w:hAnsi="仿宋_GB2312" w:eastAsia="仿宋_GB2312" w:cs="仿宋_GB2312"/>
          <w:sz w:val="32"/>
          <w:szCs w:val="32"/>
          <w:lang w:eastAsia="zh-CN"/>
        </w:rPr>
        <w:t>工会办事处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原社会主义学院工程尾款项目</w:t>
      </w:r>
      <w:r>
        <w:rPr>
          <w:rFonts w:hint="eastAsia" w:ascii="仿宋_GB2312" w:hAnsi="仿宋_GB2312" w:eastAsia="仿宋_GB2312" w:cs="仿宋_GB2312"/>
          <w:sz w:val="32"/>
          <w:szCs w:val="32"/>
        </w:rPr>
        <w:t>绩效评价工作。</w:t>
      </w:r>
    </w:p>
    <w:p>
      <w:pPr>
        <w:keepNext w:val="0"/>
        <w:keepLines w:val="0"/>
        <w:pageBreakBefore w:val="0"/>
        <w:kinsoku/>
        <w:wordWrap/>
        <w:overflowPunct/>
        <w:topLinePunct w:val="0"/>
        <w:autoSpaceDE/>
        <w:autoSpaceDN/>
        <w:bidi w:val="0"/>
        <w:adjustRightInd/>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三、综合评价情况及评价结论</w:t>
      </w:r>
    </w:p>
    <w:p>
      <w:pPr>
        <w:pStyle w:val="9"/>
        <w:keepNext w:val="0"/>
        <w:keepLines w:val="0"/>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此项目是</w:t>
      </w:r>
      <w:r>
        <w:rPr>
          <w:rFonts w:hint="eastAsia" w:ascii="仿宋_GB2312" w:hAnsi="仿宋_GB2312" w:eastAsia="仿宋_GB2312" w:cs="仿宋_GB2312"/>
          <w:sz w:val="32"/>
          <w:szCs w:val="32"/>
          <w:lang w:val="en-US" w:eastAsia="zh-CN"/>
        </w:rPr>
        <w:t>2006年的项目，工程早已完工并投入使用，目前只剩工程尾款未支付，本年财政拨款原社会主义学院工程尾款5.2的万元，已支付工程尾款。</w:t>
      </w:r>
      <w:r>
        <w:rPr>
          <w:rFonts w:hint="eastAsia" w:ascii="仿宋_GB2312" w:hAnsi="仿宋_GB2312" w:eastAsia="仿宋_GB2312" w:cs="仿宋_GB2312"/>
          <w:sz w:val="32"/>
          <w:szCs w:val="32"/>
        </w:rPr>
        <w:t>项目资金预算执行率为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%；从项目的效果看，</w:t>
      </w:r>
      <w:r>
        <w:rPr>
          <w:rFonts w:hint="eastAsia" w:ascii="仿宋_GB2312" w:hAnsi="仿宋_GB2312" w:eastAsia="仿宋_GB2312" w:cs="仿宋_GB2312"/>
          <w:sz w:val="32"/>
          <w:szCs w:val="32"/>
          <w:lang w:val="en-US" w:eastAsia="zh-CN"/>
        </w:rPr>
        <w:t>完成以前年度所欠的工程款，为后期我单位将原社会主义学院土地、房产手续变更到我塔城地区工会名下，做了有力的依据。</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运用由项目组制订评价指标体系及评分标准，通过数据采集，对</w:t>
      </w:r>
      <w:r>
        <w:rPr>
          <w:rFonts w:hint="eastAsia" w:ascii="仿宋_GB2312" w:hAnsi="仿宋_GB2312" w:eastAsia="仿宋_GB2312" w:cs="仿宋_GB2312"/>
          <w:sz w:val="32"/>
          <w:szCs w:val="32"/>
        </w:rPr>
        <w:t>塔城地区</w:t>
      </w:r>
      <w:r>
        <w:rPr>
          <w:rFonts w:hint="eastAsia" w:ascii="仿宋_GB2312" w:hAnsi="仿宋_GB2312" w:eastAsia="仿宋_GB2312" w:cs="仿宋_GB2312"/>
          <w:sz w:val="32"/>
          <w:szCs w:val="32"/>
          <w:lang w:eastAsia="zh-CN"/>
        </w:rPr>
        <w:t>工会办事处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原社会主义学院工程尾款项目</w:t>
      </w:r>
      <w:r>
        <w:rPr>
          <w:rFonts w:hint="eastAsia" w:ascii="仿宋_GB2312" w:hAnsi="仿宋_GB2312" w:eastAsia="仿宋_GB2312" w:cs="仿宋_GB2312"/>
          <w:color w:val="auto"/>
          <w:sz w:val="32"/>
          <w:szCs w:val="32"/>
        </w:rPr>
        <w:t>进行客观评价，最终评分结果：总得分为9</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分，属于“优秀”。其中：决策类指标权重为20分，得分为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%；过程类指标权重为20分，得分为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%；产出类指标权重为40分，得分为</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%；项目效益类指标权重为20分，得分为</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得分率为9</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%。具体打分情况详见附件2（综合评分表）。</w:t>
      </w:r>
    </w:p>
    <w:p>
      <w:pPr>
        <w:pStyle w:val="10"/>
        <w:keepNext w:val="0"/>
        <w:keepLines w:val="0"/>
        <w:pageBreakBefore w:val="0"/>
        <w:kinsoku/>
        <w:wordWrap/>
        <w:overflowPunct/>
        <w:topLinePunct w:val="0"/>
        <w:autoSpaceDE/>
        <w:autoSpaceDN/>
        <w:bidi w:val="0"/>
        <w:adjustRightInd/>
        <w:spacing w:line="560" w:lineRule="exact"/>
        <w:ind w:left="0" w:leftChars="0" w:firstLine="321" w:firstLineChars="100"/>
        <w:jc w:val="both"/>
        <w:rPr>
          <w:rFonts w:ascii="方正仿宋_GBK" w:hAnsi="仿宋" w:eastAsia="方正仿宋_GBK" w:cs="宋体"/>
          <w:color w:val="auto"/>
          <w:sz w:val="32"/>
          <w:szCs w:val="32"/>
        </w:rPr>
      </w:pPr>
      <w:r>
        <w:rPr>
          <w:rFonts w:hint="eastAsia" w:ascii="仿宋_GB2312" w:hAnsi="仿宋_GB2312" w:eastAsia="仿宋_GB2312" w:cs="仿宋_GB2312"/>
          <w:b/>
          <w:bCs/>
          <w:color w:val="auto"/>
          <w:kern w:val="0"/>
          <w:sz w:val="32"/>
          <w:szCs w:val="32"/>
          <w:lang w:val="en-US" w:eastAsia="zh-CN"/>
        </w:rPr>
        <w:t>原社会主义学院工程尾款</w:t>
      </w:r>
      <w:r>
        <w:rPr>
          <w:rFonts w:hint="eastAsia" w:ascii="仿宋_GB2312" w:hAnsi="仿宋_GB2312" w:eastAsia="仿宋_GB2312" w:cs="仿宋_GB2312"/>
          <w:b/>
          <w:bCs/>
          <w:color w:val="auto"/>
          <w:kern w:val="0"/>
          <w:sz w:val="32"/>
          <w:szCs w:val="32"/>
        </w:rPr>
        <w:t>项目绩效评价项目得分情况表</w:t>
      </w:r>
    </w:p>
    <w:tbl>
      <w:tblPr>
        <w:tblStyle w:val="6"/>
        <w:tblW w:w="8856" w:type="dxa"/>
        <w:tblInd w:w="0" w:type="dxa"/>
        <w:tblLayout w:type="fixed"/>
        <w:tblCellMar>
          <w:top w:w="0" w:type="dxa"/>
          <w:left w:w="108" w:type="dxa"/>
          <w:bottom w:w="0" w:type="dxa"/>
          <w:right w:w="108" w:type="dxa"/>
        </w:tblCellMar>
      </w:tblPr>
      <w:tblGrid>
        <w:gridCol w:w="2780"/>
        <w:gridCol w:w="2223"/>
        <w:gridCol w:w="2076"/>
        <w:gridCol w:w="1777"/>
      </w:tblGrid>
      <w:tr>
        <w:tblPrEx>
          <w:tblCellMar>
            <w:top w:w="0" w:type="dxa"/>
            <w:left w:w="108" w:type="dxa"/>
            <w:bottom w:w="0" w:type="dxa"/>
            <w:right w:w="108" w:type="dxa"/>
          </w:tblCellMar>
        </w:tblPrEx>
        <w:trPr>
          <w:trHeight w:val="510" w:hRule="exact"/>
          <w:tblHeader/>
        </w:trPr>
        <w:tc>
          <w:tcPr>
            <w:tcW w:w="2780" w:type="dxa"/>
            <w:tcBorders>
              <w:top w:val="single" w:color="auto" w:sz="8" w:space="0"/>
              <w:left w:val="single" w:color="auto" w:sz="8" w:space="0"/>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pacing w:line="560" w:lineRule="exact"/>
              <w:jc w:val="center"/>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一级指标</w:t>
            </w:r>
          </w:p>
        </w:tc>
        <w:tc>
          <w:tcPr>
            <w:tcW w:w="2223"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pacing w:line="560" w:lineRule="exact"/>
              <w:jc w:val="center"/>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权重</w:t>
            </w:r>
          </w:p>
        </w:tc>
        <w:tc>
          <w:tcPr>
            <w:tcW w:w="2076"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pacing w:line="560" w:lineRule="exact"/>
              <w:jc w:val="center"/>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得分率</w:t>
            </w:r>
          </w:p>
        </w:tc>
        <w:tc>
          <w:tcPr>
            <w:tcW w:w="1777"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pacing w:line="560" w:lineRule="exact"/>
              <w:jc w:val="center"/>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实际得分</w:t>
            </w:r>
          </w:p>
        </w:tc>
      </w:tr>
      <w:tr>
        <w:tblPrEx>
          <w:tblCellMar>
            <w:top w:w="0" w:type="dxa"/>
            <w:left w:w="108" w:type="dxa"/>
            <w:bottom w:w="0" w:type="dxa"/>
            <w:right w:w="108" w:type="dxa"/>
          </w:tblCellMar>
        </w:tblPrEx>
        <w:trPr>
          <w:trHeight w:val="510" w:hRule="exact"/>
          <w:tblHeader/>
        </w:trPr>
        <w:tc>
          <w:tcPr>
            <w:tcW w:w="278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决策</w:t>
            </w:r>
          </w:p>
        </w:tc>
        <w:tc>
          <w:tcPr>
            <w:tcW w:w="2223"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20</w:t>
            </w:r>
          </w:p>
        </w:tc>
        <w:tc>
          <w:tcPr>
            <w:tcW w:w="2076"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100</w:t>
            </w:r>
            <w:r>
              <w:rPr>
                <w:rFonts w:hint="eastAsia" w:ascii="宋体" w:hAnsi="宋体" w:eastAsia="宋体" w:cs="宋体"/>
                <w:color w:val="auto"/>
                <w:kern w:val="0"/>
                <w:sz w:val="18"/>
                <w:szCs w:val="18"/>
              </w:rPr>
              <w:t>%</w:t>
            </w:r>
          </w:p>
        </w:tc>
        <w:tc>
          <w:tcPr>
            <w:tcW w:w="1777"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w:t>
            </w:r>
          </w:p>
        </w:tc>
      </w:tr>
      <w:tr>
        <w:tblPrEx>
          <w:tblCellMar>
            <w:top w:w="0" w:type="dxa"/>
            <w:left w:w="108" w:type="dxa"/>
            <w:bottom w:w="0" w:type="dxa"/>
            <w:right w:w="108" w:type="dxa"/>
          </w:tblCellMar>
        </w:tblPrEx>
        <w:trPr>
          <w:trHeight w:val="510" w:hRule="exact"/>
          <w:tblHeader/>
        </w:trPr>
        <w:tc>
          <w:tcPr>
            <w:tcW w:w="2780"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过程</w:t>
            </w:r>
          </w:p>
        </w:tc>
        <w:tc>
          <w:tcPr>
            <w:tcW w:w="222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20</w:t>
            </w:r>
          </w:p>
        </w:tc>
        <w:tc>
          <w:tcPr>
            <w:tcW w:w="207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100</w:t>
            </w:r>
            <w:r>
              <w:rPr>
                <w:rFonts w:hint="eastAsia" w:ascii="宋体" w:hAnsi="宋体" w:eastAsia="宋体" w:cs="宋体"/>
                <w:color w:val="auto"/>
                <w:kern w:val="0"/>
                <w:sz w:val="18"/>
                <w:szCs w:val="18"/>
              </w:rPr>
              <w:t>%</w:t>
            </w:r>
          </w:p>
        </w:tc>
        <w:tc>
          <w:tcPr>
            <w:tcW w:w="1777"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w:t>
            </w:r>
          </w:p>
        </w:tc>
      </w:tr>
      <w:tr>
        <w:tblPrEx>
          <w:tblCellMar>
            <w:top w:w="0" w:type="dxa"/>
            <w:left w:w="108" w:type="dxa"/>
            <w:bottom w:w="0" w:type="dxa"/>
            <w:right w:w="108" w:type="dxa"/>
          </w:tblCellMar>
        </w:tblPrEx>
        <w:trPr>
          <w:trHeight w:val="510" w:hRule="exact"/>
          <w:tblHeader/>
        </w:trPr>
        <w:tc>
          <w:tcPr>
            <w:tcW w:w="2780"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222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40</w:t>
            </w:r>
          </w:p>
        </w:tc>
        <w:tc>
          <w:tcPr>
            <w:tcW w:w="207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100</w:t>
            </w:r>
            <w:r>
              <w:rPr>
                <w:rFonts w:hint="eastAsia" w:ascii="宋体" w:hAnsi="宋体" w:eastAsia="宋体" w:cs="宋体"/>
                <w:color w:val="auto"/>
                <w:kern w:val="0"/>
                <w:sz w:val="18"/>
                <w:szCs w:val="18"/>
              </w:rPr>
              <w:t>%</w:t>
            </w:r>
          </w:p>
        </w:tc>
        <w:tc>
          <w:tcPr>
            <w:tcW w:w="1777"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40</w:t>
            </w:r>
          </w:p>
        </w:tc>
      </w:tr>
      <w:tr>
        <w:tblPrEx>
          <w:tblCellMar>
            <w:top w:w="0" w:type="dxa"/>
            <w:left w:w="108" w:type="dxa"/>
            <w:bottom w:w="0" w:type="dxa"/>
            <w:right w:w="108" w:type="dxa"/>
          </w:tblCellMar>
        </w:tblPrEx>
        <w:trPr>
          <w:trHeight w:val="510" w:hRule="exact"/>
          <w:tblHeader/>
        </w:trPr>
        <w:tc>
          <w:tcPr>
            <w:tcW w:w="2780"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效益</w:t>
            </w:r>
          </w:p>
        </w:tc>
        <w:tc>
          <w:tcPr>
            <w:tcW w:w="222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20</w:t>
            </w:r>
          </w:p>
        </w:tc>
        <w:tc>
          <w:tcPr>
            <w:tcW w:w="207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9</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w:t>
            </w:r>
          </w:p>
        </w:tc>
        <w:tc>
          <w:tcPr>
            <w:tcW w:w="1777"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w:t>
            </w:r>
          </w:p>
        </w:tc>
      </w:tr>
      <w:tr>
        <w:tblPrEx>
          <w:tblCellMar>
            <w:top w:w="0" w:type="dxa"/>
            <w:left w:w="108" w:type="dxa"/>
            <w:bottom w:w="0" w:type="dxa"/>
            <w:right w:w="108" w:type="dxa"/>
          </w:tblCellMar>
        </w:tblPrEx>
        <w:trPr>
          <w:trHeight w:val="510" w:hRule="exact"/>
          <w:tblHeader/>
        </w:trPr>
        <w:tc>
          <w:tcPr>
            <w:tcW w:w="2780"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合计</w:t>
            </w:r>
          </w:p>
        </w:tc>
        <w:tc>
          <w:tcPr>
            <w:tcW w:w="222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207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99</w:t>
            </w:r>
            <w:r>
              <w:rPr>
                <w:rFonts w:hint="eastAsia" w:ascii="宋体" w:hAnsi="宋体" w:eastAsia="宋体" w:cs="宋体"/>
                <w:color w:val="auto"/>
                <w:kern w:val="0"/>
                <w:sz w:val="18"/>
                <w:szCs w:val="18"/>
              </w:rPr>
              <w:t>%</w:t>
            </w:r>
          </w:p>
        </w:tc>
        <w:tc>
          <w:tcPr>
            <w:tcW w:w="1777"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pacing w:line="560" w:lineRule="exact"/>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99</w:t>
            </w:r>
          </w:p>
        </w:tc>
      </w:tr>
    </w:tbl>
    <w:p>
      <w:pPr>
        <w:keepNext w:val="0"/>
        <w:keepLines w:val="0"/>
        <w:pageBreakBefore w:val="0"/>
        <w:kinsoku/>
        <w:wordWrap/>
        <w:overflowPunct/>
        <w:topLinePunct w:val="0"/>
        <w:autoSpaceDE/>
        <w:autoSpaceDN/>
        <w:bidi w:val="0"/>
        <w:adjustRightInd/>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四、绩效评价指标分析</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0分，实际得分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0%。项目决策指标得分情况如表所示。</w:t>
      </w:r>
    </w:p>
    <w:tbl>
      <w:tblPr>
        <w:tblStyle w:val="6"/>
        <w:tblW w:w="8908" w:type="dxa"/>
        <w:tblInd w:w="0" w:type="dxa"/>
        <w:tblLayout w:type="fixed"/>
        <w:tblCellMar>
          <w:top w:w="0" w:type="dxa"/>
          <w:left w:w="108" w:type="dxa"/>
          <w:bottom w:w="0" w:type="dxa"/>
          <w:right w:w="108" w:type="dxa"/>
        </w:tblCellMar>
      </w:tblPr>
      <w:tblGrid>
        <w:gridCol w:w="2631"/>
        <w:gridCol w:w="2371"/>
        <w:gridCol w:w="2076"/>
        <w:gridCol w:w="1830"/>
      </w:tblGrid>
      <w:tr>
        <w:tblPrEx>
          <w:tblCellMar>
            <w:top w:w="0" w:type="dxa"/>
            <w:left w:w="108" w:type="dxa"/>
            <w:bottom w:w="0" w:type="dxa"/>
            <w:right w:w="108" w:type="dxa"/>
          </w:tblCellMar>
        </w:tblPrEx>
        <w:trPr>
          <w:trHeight w:val="480" w:hRule="atLeast"/>
        </w:trPr>
        <w:tc>
          <w:tcPr>
            <w:tcW w:w="8908" w:type="dxa"/>
            <w:gridSpan w:val="4"/>
            <w:tcBorders>
              <w:top w:val="nil"/>
              <w:left w:val="nil"/>
              <w:bottom w:val="single" w:color="auto" w:sz="8"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color w:val="000000"/>
                <w:kern w:val="0"/>
                <w:sz w:val="28"/>
                <w:szCs w:val="28"/>
              </w:rPr>
            </w:pPr>
            <w:r>
              <w:rPr>
                <w:rFonts w:hint="eastAsia" w:ascii="宋体" w:hAnsi="宋体" w:eastAsia="宋体" w:cs="宋体"/>
                <w:color w:val="000000"/>
                <w:kern w:val="0"/>
                <w:sz w:val="28"/>
                <w:szCs w:val="28"/>
              </w:rPr>
              <w:t>项目决策指标得分情况</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371"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2076"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830"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rPr>
              <w:t>项目立项</w:t>
            </w:r>
          </w:p>
        </w:tc>
        <w:tc>
          <w:tcPr>
            <w:tcW w:w="237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lang w:eastAsia="zh-CN"/>
              </w:rPr>
            </w:pPr>
            <w:r>
              <w:rPr>
                <w:rFonts w:hint="eastAsia" w:ascii="楷体" w:hAnsi="楷体" w:eastAsia="楷体" w:cs="楷体"/>
                <w:color w:val="000000"/>
                <w:kern w:val="0"/>
                <w:sz w:val="18"/>
                <w:szCs w:val="18"/>
              </w:rPr>
              <w:t>1</w:t>
            </w:r>
            <w:r>
              <w:rPr>
                <w:rFonts w:hint="eastAsia" w:ascii="楷体" w:hAnsi="楷体" w:eastAsia="楷体" w:cs="楷体"/>
                <w:color w:val="000000"/>
                <w:kern w:val="0"/>
                <w:sz w:val="18"/>
                <w:szCs w:val="18"/>
                <w:lang w:val="en-US" w:eastAsia="zh-CN"/>
              </w:rPr>
              <w:t>0</w:t>
            </w:r>
          </w:p>
        </w:tc>
        <w:tc>
          <w:tcPr>
            <w:tcW w:w="207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lang w:val="en-US" w:eastAsia="zh-CN"/>
              </w:rPr>
              <w:t>10</w:t>
            </w:r>
            <w:r>
              <w:rPr>
                <w:rFonts w:hint="eastAsia" w:ascii="楷体" w:hAnsi="楷体" w:eastAsia="楷体" w:cs="楷体"/>
                <w:color w:val="000000"/>
                <w:kern w:val="0"/>
                <w:sz w:val="18"/>
                <w:szCs w:val="18"/>
              </w:rPr>
              <w:t>0%</w:t>
            </w:r>
          </w:p>
        </w:tc>
        <w:tc>
          <w:tcPr>
            <w:tcW w:w="183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lang w:val="en-US" w:eastAsia="zh-CN"/>
              </w:rPr>
            </w:pPr>
            <w:r>
              <w:rPr>
                <w:rFonts w:hint="eastAsia" w:ascii="楷体" w:hAnsi="楷体" w:eastAsia="楷体" w:cs="楷体"/>
                <w:color w:val="000000"/>
                <w:kern w:val="0"/>
                <w:sz w:val="18"/>
                <w:szCs w:val="18"/>
                <w:lang w:val="en-US" w:eastAsia="zh-CN"/>
              </w:rPr>
              <w:t>10</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rPr>
              <w:t>绩效目标</w:t>
            </w:r>
          </w:p>
        </w:tc>
        <w:tc>
          <w:tcPr>
            <w:tcW w:w="237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rPr>
              <w:t>5</w:t>
            </w:r>
          </w:p>
        </w:tc>
        <w:tc>
          <w:tcPr>
            <w:tcW w:w="207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lang w:val="en-US" w:eastAsia="zh-CN"/>
              </w:rPr>
              <w:t>100</w:t>
            </w:r>
            <w:r>
              <w:rPr>
                <w:rFonts w:hint="eastAsia" w:ascii="楷体" w:hAnsi="楷体" w:eastAsia="楷体" w:cs="楷体"/>
                <w:color w:val="000000"/>
                <w:kern w:val="0"/>
                <w:sz w:val="18"/>
                <w:szCs w:val="18"/>
              </w:rPr>
              <w:t>%</w:t>
            </w:r>
          </w:p>
        </w:tc>
        <w:tc>
          <w:tcPr>
            <w:tcW w:w="183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lang w:val="en-US" w:eastAsia="zh-CN"/>
              </w:rPr>
              <w:t>5</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rPr>
              <w:t>资金投入</w:t>
            </w:r>
          </w:p>
        </w:tc>
        <w:tc>
          <w:tcPr>
            <w:tcW w:w="2371"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lang w:eastAsia="zh-CN"/>
              </w:rPr>
            </w:pPr>
            <w:r>
              <w:rPr>
                <w:rFonts w:hint="eastAsia" w:ascii="楷体" w:hAnsi="楷体" w:eastAsia="楷体" w:cs="楷体"/>
                <w:color w:val="000000"/>
                <w:kern w:val="0"/>
                <w:sz w:val="18"/>
                <w:szCs w:val="18"/>
                <w:lang w:val="en-US" w:eastAsia="zh-CN"/>
              </w:rPr>
              <w:t>5</w:t>
            </w:r>
          </w:p>
        </w:tc>
        <w:tc>
          <w:tcPr>
            <w:tcW w:w="207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lang w:val="en-US" w:eastAsia="zh-CN"/>
              </w:rPr>
              <w:t>100</w:t>
            </w:r>
            <w:r>
              <w:rPr>
                <w:rFonts w:hint="eastAsia" w:ascii="楷体" w:hAnsi="楷体" w:eastAsia="楷体" w:cs="楷体"/>
                <w:color w:val="000000"/>
                <w:kern w:val="0"/>
                <w:sz w:val="18"/>
                <w:szCs w:val="18"/>
              </w:rPr>
              <w:t>%</w:t>
            </w:r>
          </w:p>
        </w:tc>
        <w:tc>
          <w:tcPr>
            <w:tcW w:w="183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lang w:eastAsia="zh-CN"/>
              </w:rPr>
            </w:pPr>
            <w:r>
              <w:rPr>
                <w:rFonts w:hint="eastAsia" w:ascii="楷体" w:hAnsi="楷体" w:eastAsia="楷体" w:cs="楷体"/>
                <w:color w:val="000000"/>
                <w:kern w:val="0"/>
                <w:sz w:val="18"/>
                <w:szCs w:val="18"/>
                <w:lang w:val="en-US" w:eastAsia="zh-CN"/>
              </w:rPr>
              <w:t>5</w:t>
            </w:r>
          </w:p>
        </w:tc>
      </w:tr>
      <w:tr>
        <w:tblPrEx>
          <w:tblCellMar>
            <w:top w:w="0" w:type="dxa"/>
            <w:left w:w="108" w:type="dxa"/>
            <w:bottom w:w="0" w:type="dxa"/>
            <w:right w:w="108" w:type="dxa"/>
          </w:tblCellMar>
        </w:tblPrEx>
        <w:trPr>
          <w:trHeight w:val="510" w:hRule="exact"/>
        </w:trPr>
        <w:tc>
          <w:tcPr>
            <w:tcW w:w="2631"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rPr>
              <w:t>合  计</w:t>
            </w:r>
          </w:p>
        </w:tc>
        <w:tc>
          <w:tcPr>
            <w:tcW w:w="2371"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lang w:val="en-US" w:eastAsia="zh-CN"/>
              </w:rPr>
              <w:t>2</w:t>
            </w:r>
            <w:r>
              <w:rPr>
                <w:rFonts w:hint="eastAsia" w:ascii="楷体" w:hAnsi="楷体" w:eastAsia="楷体" w:cs="楷体"/>
                <w:color w:val="000000"/>
                <w:kern w:val="0"/>
                <w:sz w:val="18"/>
                <w:szCs w:val="18"/>
              </w:rPr>
              <w:t>0</w:t>
            </w:r>
          </w:p>
        </w:tc>
        <w:tc>
          <w:tcPr>
            <w:tcW w:w="2076"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rPr>
            </w:pPr>
            <w:r>
              <w:rPr>
                <w:rFonts w:hint="eastAsia" w:ascii="楷体" w:hAnsi="楷体" w:eastAsia="楷体" w:cs="楷体"/>
                <w:color w:val="000000"/>
                <w:kern w:val="0"/>
                <w:sz w:val="18"/>
                <w:szCs w:val="18"/>
                <w:lang w:val="en-US" w:eastAsia="zh-CN"/>
              </w:rPr>
              <w:t>10</w:t>
            </w:r>
            <w:r>
              <w:rPr>
                <w:rFonts w:hint="eastAsia" w:ascii="楷体" w:hAnsi="楷体" w:eastAsia="楷体" w:cs="楷体"/>
                <w:color w:val="000000"/>
                <w:kern w:val="0"/>
                <w:sz w:val="18"/>
                <w:szCs w:val="18"/>
              </w:rPr>
              <w:t>0%</w:t>
            </w:r>
          </w:p>
        </w:tc>
        <w:tc>
          <w:tcPr>
            <w:tcW w:w="1830"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楷体" w:hAnsi="楷体" w:eastAsia="楷体" w:cs="楷体"/>
                <w:color w:val="000000"/>
                <w:kern w:val="0"/>
                <w:sz w:val="18"/>
                <w:szCs w:val="18"/>
                <w:lang w:val="en-US" w:eastAsia="zh-CN"/>
              </w:rPr>
            </w:pPr>
            <w:r>
              <w:rPr>
                <w:rFonts w:hint="eastAsia" w:ascii="楷体" w:hAnsi="楷体" w:eastAsia="楷体" w:cs="楷体"/>
                <w:color w:val="000000"/>
                <w:kern w:val="0"/>
                <w:sz w:val="18"/>
                <w:szCs w:val="18"/>
                <w:lang w:val="en-US" w:eastAsia="zh-CN"/>
              </w:rPr>
              <w:t>20</w:t>
            </w:r>
          </w:p>
        </w:tc>
      </w:tr>
    </w:tbl>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val="en-US" w:eastAsia="zh-CN"/>
        </w:rPr>
        <w:t>项目立项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此项目是根据塔地财经办〔</w:t>
      </w:r>
      <w:r>
        <w:rPr>
          <w:rFonts w:hint="eastAsia" w:ascii="仿宋_GB2312" w:hAnsi="仿宋_GB2312" w:eastAsia="仿宋_GB2312" w:cs="仿宋_GB2312"/>
          <w:sz w:val="32"/>
          <w:szCs w:val="32"/>
          <w:lang w:val="en-US" w:eastAsia="zh-CN"/>
        </w:rPr>
        <w:t>2018〕56号文《关于社会主义学院原综合楼工程资产划拨的通知》，解决前期所欠的工程款，我单位提供以前年度上缴财政部门的非税收入房租费，财政部门才予以拨付的工程款，</w:t>
      </w:r>
      <w:r>
        <w:rPr>
          <w:rFonts w:hint="eastAsia" w:ascii="仿宋_GB2312" w:hAnsi="仿宋_GB2312" w:eastAsia="仿宋_GB2312" w:cs="仿宋_GB2312"/>
          <w:sz w:val="32"/>
          <w:szCs w:val="32"/>
        </w:rPr>
        <w:t>该项目的立项符合规划，根据评分标准，该指标不扣分。</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对于“绩效目标”，</w:t>
      </w:r>
      <w:r>
        <w:rPr>
          <w:rFonts w:hint="eastAsia" w:ascii="仿宋_GB2312" w:hAnsi="仿宋_GB2312" w:eastAsia="仿宋_GB2312" w:cs="仿宋_GB2312"/>
          <w:sz w:val="32"/>
          <w:szCs w:val="32"/>
          <w:lang w:eastAsia="zh-CN"/>
        </w:rPr>
        <w:t>原社会主义学院工程尾款就是归还以前年度所欠的工程款，</w:t>
      </w:r>
      <w:r>
        <w:rPr>
          <w:rFonts w:hint="eastAsia" w:ascii="仿宋_GB2312" w:hAnsi="仿宋_GB2312" w:eastAsia="仿宋_GB2312" w:cs="仿宋_GB2312"/>
          <w:sz w:val="32"/>
          <w:szCs w:val="32"/>
        </w:rPr>
        <w:t>项目绩效目标的设置，满足合理性和明确性的要求。根据评分标准，该指标不扣分。</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对于“资金投入”，</w:t>
      </w:r>
      <w:r>
        <w:rPr>
          <w:rFonts w:hint="eastAsia" w:ascii="仿宋_GB2312" w:hAnsi="仿宋_GB2312" w:eastAsia="仿宋_GB2312" w:cs="仿宋_GB2312"/>
          <w:sz w:val="32"/>
          <w:szCs w:val="32"/>
          <w:lang w:val="en-US" w:eastAsia="zh-CN"/>
        </w:rPr>
        <w:t>原社会主义学院工程尾款情况拨付资金，资金拨付到位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根据评分标准，该指标不扣分。</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（二）项目过程情况</w:t>
      </w:r>
    </w:p>
    <w:p>
      <w:pPr>
        <w:keepNext w:val="0"/>
        <w:keepLines w:val="0"/>
        <w:pageBreakBefore w:val="0"/>
        <w:kinsoku/>
        <w:wordWrap/>
        <w:overflowPunct/>
        <w:topLinePunct w:val="0"/>
        <w:autoSpaceDE/>
        <w:autoSpaceDN/>
        <w:bidi w:val="0"/>
        <w:adjustRightInd/>
        <w:spacing w:line="560" w:lineRule="exact"/>
        <w:ind w:firstLine="640" w:firstLineChars="200"/>
        <w:jc w:val="left"/>
      </w:pPr>
      <w:r>
        <w:rPr>
          <w:rFonts w:hint="eastAsia" w:ascii="仿宋_GB2312" w:hAnsi="仿宋_GB2312" w:eastAsia="仿宋_GB2312" w:cs="仿宋_GB2312"/>
          <w:sz w:val="32"/>
          <w:szCs w:val="32"/>
        </w:rPr>
        <w:t>项目管理指标从预算执行率、资金到位率、资金使用合规性、管理制度健全性、制度执行有效性5个方面对项目的管理情况进行考察。项目管理类指标分值20分，实际得分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%。项目管理指标得分情况如表所示。</w:t>
      </w:r>
    </w:p>
    <w:tbl>
      <w:tblPr>
        <w:tblStyle w:val="6"/>
        <w:tblW w:w="8908" w:type="dxa"/>
        <w:tblInd w:w="0" w:type="dxa"/>
        <w:tblLayout w:type="fixed"/>
        <w:tblCellMar>
          <w:top w:w="0" w:type="dxa"/>
          <w:left w:w="108" w:type="dxa"/>
          <w:bottom w:w="0" w:type="dxa"/>
          <w:right w:w="108" w:type="dxa"/>
        </w:tblCellMar>
      </w:tblPr>
      <w:tblGrid>
        <w:gridCol w:w="2333"/>
        <w:gridCol w:w="2516"/>
        <w:gridCol w:w="2076"/>
        <w:gridCol w:w="1983"/>
      </w:tblGrid>
      <w:tr>
        <w:tblPrEx>
          <w:tblCellMar>
            <w:top w:w="0" w:type="dxa"/>
            <w:left w:w="108" w:type="dxa"/>
            <w:bottom w:w="0" w:type="dxa"/>
            <w:right w:w="108" w:type="dxa"/>
          </w:tblCellMar>
        </w:tblPrEx>
        <w:trPr>
          <w:trHeight w:val="495" w:hRule="atLeast"/>
          <w:tblHeader/>
        </w:trPr>
        <w:tc>
          <w:tcPr>
            <w:tcW w:w="8908" w:type="dxa"/>
            <w:gridSpan w:val="4"/>
            <w:tcBorders>
              <w:top w:val="nil"/>
              <w:left w:val="nil"/>
              <w:bottom w:val="single" w:color="auto" w:sz="8" w:space="0"/>
              <w:right w:val="nil"/>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24"/>
              </w:rPr>
            </w:pPr>
            <w:r>
              <w:rPr>
                <w:rFonts w:hint="eastAsia" w:ascii="宋体" w:hAnsi="宋体" w:cs="宋体"/>
                <w:color w:val="000000"/>
                <w:kern w:val="0"/>
                <w:sz w:val="24"/>
              </w:rPr>
              <w:t>项目管理指标得分情况</w:t>
            </w:r>
          </w:p>
        </w:tc>
      </w:tr>
      <w:tr>
        <w:tblPrEx>
          <w:tblCellMar>
            <w:top w:w="0" w:type="dxa"/>
            <w:left w:w="108" w:type="dxa"/>
            <w:bottom w:w="0" w:type="dxa"/>
            <w:right w:w="108" w:type="dxa"/>
          </w:tblCellMar>
        </w:tblPrEx>
        <w:trPr>
          <w:trHeight w:val="510" w:hRule="exact"/>
          <w:tblHeader/>
        </w:trPr>
        <w:tc>
          <w:tcPr>
            <w:tcW w:w="2333" w:type="dxa"/>
            <w:tcBorders>
              <w:top w:val="nil"/>
              <w:left w:val="single" w:color="auto" w:sz="8" w:space="0"/>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三级指标</w:t>
            </w:r>
          </w:p>
        </w:tc>
        <w:tc>
          <w:tcPr>
            <w:tcW w:w="2516"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权重</w:t>
            </w:r>
          </w:p>
        </w:tc>
        <w:tc>
          <w:tcPr>
            <w:tcW w:w="2076"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得分率</w:t>
            </w:r>
          </w:p>
        </w:tc>
        <w:tc>
          <w:tcPr>
            <w:tcW w:w="1983"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实际得分</w:t>
            </w:r>
          </w:p>
        </w:tc>
      </w:tr>
      <w:tr>
        <w:tblPrEx>
          <w:tblCellMar>
            <w:top w:w="0" w:type="dxa"/>
            <w:left w:w="108" w:type="dxa"/>
            <w:bottom w:w="0" w:type="dxa"/>
            <w:right w:w="108" w:type="dxa"/>
          </w:tblCellMar>
        </w:tblPrEx>
        <w:trPr>
          <w:trHeight w:val="510" w:hRule="exact"/>
        </w:trPr>
        <w:tc>
          <w:tcPr>
            <w:tcW w:w="233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left"/>
              <w:rPr>
                <w:rFonts w:ascii="宋体" w:hAnsi="宋体" w:cs="宋体"/>
                <w:color w:val="000000"/>
                <w:kern w:val="0"/>
                <w:sz w:val="18"/>
                <w:szCs w:val="18"/>
              </w:rPr>
            </w:pPr>
            <w:r>
              <w:rPr>
                <w:rFonts w:hint="eastAsia" w:ascii="宋体" w:hAnsi="宋体" w:cs="宋体"/>
                <w:sz w:val="18"/>
                <w:szCs w:val="18"/>
              </w:rPr>
              <w:t>预算执行率</w:t>
            </w:r>
          </w:p>
        </w:tc>
        <w:tc>
          <w:tcPr>
            <w:tcW w:w="251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07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r>
              <w:rPr>
                <w:rFonts w:hint="eastAsia" w:ascii="宋体" w:hAnsi="宋体" w:cs="宋体"/>
                <w:color w:val="000000"/>
                <w:kern w:val="0"/>
                <w:sz w:val="18"/>
                <w:szCs w:val="18"/>
              </w:rPr>
              <w:t>%</w:t>
            </w:r>
          </w:p>
        </w:tc>
        <w:tc>
          <w:tcPr>
            <w:tcW w:w="198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cs="宋体" w:eastAsiaTheme="minorEastAsia"/>
                <w:color w:val="000000"/>
                <w:kern w:val="0"/>
                <w:sz w:val="18"/>
                <w:szCs w:val="18"/>
                <w:lang w:eastAsia="zh-CN"/>
              </w:rPr>
            </w:pPr>
            <w:r>
              <w:rPr>
                <w:rFonts w:hint="eastAsia" w:ascii="宋体" w:hAnsi="宋体" w:cs="宋体"/>
                <w:color w:val="000000"/>
                <w:kern w:val="0"/>
                <w:sz w:val="18"/>
                <w:szCs w:val="18"/>
                <w:lang w:val="en-US" w:eastAsia="zh-CN"/>
              </w:rPr>
              <w:t>4</w:t>
            </w:r>
          </w:p>
        </w:tc>
      </w:tr>
      <w:tr>
        <w:tblPrEx>
          <w:tblCellMar>
            <w:top w:w="0" w:type="dxa"/>
            <w:left w:w="108" w:type="dxa"/>
            <w:bottom w:w="0" w:type="dxa"/>
            <w:right w:w="108" w:type="dxa"/>
          </w:tblCellMar>
        </w:tblPrEx>
        <w:trPr>
          <w:trHeight w:val="510" w:hRule="exact"/>
        </w:trPr>
        <w:tc>
          <w:tcPr>
            <w:tcW w:w="2333"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251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0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8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r>
      <w:tr>
        <w:tblPrEx>
          <w:tblCellMar>
            <w:top w:w="0" w:type="dxa"/>
            <w:left w:w="108" w:type="dxa"/>
            <w:bottom w:w="0" w:type="dxa"/>
            <w:right w:w="108" w:type="dxa"/>
          </w:tblCellMar>
        </w:tblPrEx>
        <w:trPr>
          <w:trHeight w:val="510" w:hRule="exact"/>
        </w:trPr>
        <w:tc>
          <w:tcPr>
            <w:tcW w:w="2333"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left"/>
              <w:rPr>
                <w:rFonts w:ascii="宋体" w:hAnsi="宋体" w:cs="宋体"/>
                <w:color w:val="000000"/>
                <w:kern w:val="0"/>
                <w:sz w:val="18"/>
                <w:szCs w:val="18"/>
              </w:rPr>
            </w:pPr>
            <w:r>
              <w:rPr>
                <w:rFonts w:hint="eastAsia" w:ascii="宋体" w:hAnsi="宋体" w:cs="宋体"/>
                <w:sz w:val="18"/>
                <w:szCs w:val="18"/>
              </w:rPr>
              <w:t>资金使用合规性</w:t>
            </w:r>
          </w:p>
        </w:tc>
        <w:tc>
          <w:tcPr>
            <w:tcW w:w="251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0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8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r>
      <w:tr>
        <w:tblPrEx>
          <w:tblCellMar>
            <w:top w:w="0" w:type="dxa"/>
            <w:left w:w="108" w:type="dxa"/>
            <w:bottom w:w="0" w:type="dxa"/>
            <w:right w:w="108" w:type="dxa"/>
          </w:tblCellMar>
        </w:tblPrEx>
        <w:trPr>
          <w:trHeight w:val="510" w:hRule="exact"/>
        </w:trPr>
        <w:tc>
          <w:tcPr>
            <w:tcW w:w="2333"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left"/>
              <w:rPr>
                <w:rFonts w:ascii="宋体" w:hAnsi="宋体" w:cs="宋体"/>
                <w:color w:val="000000"/>
                <w:kern w:val="0"/>
                <w:sz w:val="18"/>
                <w:szCs w:val="18"/>
              </w:rPr>
            </w:pPr>
            <w:r>
              <w:rPr>
                <w:rFonts w:hint="eastAsia" w:ascii="宋体" w:hAnsi="宋体" w:cs="宋体"/>
                <w:sz w:val="18"/>
                <w:szCs w:val="18"/>
              </w:rPr>
              <w:t>管理制度健全性</w:t>
            </w:r>
          </w:p>
        </w:tc>
        <w:tc>
          <w:tcPr>
            <w:tcW w:w="251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0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8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r>
      <w:tr>
        <w:tblPrEx>
          <w:tblCellMar>
            <w:top w:w="0" w:type="dxa"/>
            <w:left w:w="108" w:type="dxa"/>
            <w:bottom w:w="0" w:type="dxa"/>
            <w:right w:w="108" w:type="dxa"/>
          </w:tblCellMar>
        </w:tblPrEx>
        <w:trPr>
          <w:trHeight w:val="510" w:hRule="exact"/>
        </w:trPr>
        <w:tc>
          <w:tcPr>
            <w:tcW w:w="2333"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left"/>
              <w:rPr>
                <w:rFonts w:ascii="宋体" w:hAnsi="宋体" w:cs="宋体"/>
                <w:color w:val="000000"/>
                <w:kern w:val="0"/>
                <w:sz w:val="18"/>
                <w:szCs w:val="18"/>
              </w:rPr>
            </w:pPr>
            <w:r>
              <w:rPr>
                <w:rFonts w:hint="eastAsia" w:ascii="宋体" w:hAnsi="宋体" w:cs="宋体"/>
                <w:color w:val="000000"/>
                <w:kern w:val="0"/>
                <w:sz w:val="18"/>
                <w:szCs w:val="18"/>
              </w:rPr>
              <w:t>制度执行有效性</w:t>
            </w:r>
          </w:p>
        </w:tc>
        <w:tc>
          <w:tcPr>
            <w:tcW w:w="251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20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r>
              <w:rPr>
                <w:rFonts w:hint="eastAsia" w:ascii="宋体" w:hAnsi="宋体" w:cs="宋体"/>
                <w:color w:val="000000"/>
                <w:kern w:val="0"/>
                <w:sz w:val="18"/>
                <w:szCs w:val="18"/>
              </w:rPr>
              <w:t>%</w:t>
            </w:r>
          </w:p>
        </w:tc>
        <w:tc>
          <w:tcPr>
            <w:tcW w:w="198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cs="宋体" w:eastAsiaTheme="minorEastAsia"/>
                <w:color w:val="000000"/>
                <w:kern w:val="0"/>
                <w:sz w:val="18"/>
                <w:szCs w:val="18"/>
                <w:lang w:eastAsia="zh-CN"/>
              </w:rPr>
            </w:pPr>
            <w:r>
              <w:rPr>
                <w:rFonts w:hint="eastAsia" w:ascii="宋体" w:hAnsi="宋体" w:cs="宋体"/>
                <w:color w:val="000000"/>
                <w:kern w:val="0"/>
                <w:sz w:val="18"/>
                <w:szCs w:val="18"/>
                <w:lang w:val="en-US" w:eastAsia="zh-CN"/>
              </w:rPr>
              <w:t>4</w:t>
            </w:r>
          </w:p>
        </w:tc>
      </w:tr>
      <w:tr>
        <w:tblPrEx>
          <w:tblCellMar>
            <w:top w:w="0" w:type="dxa"/>
            <w:left w:w="108" w:type="dxa"/>
            <w:bottom w:w="0" w:type="dxa"/>
            <w:right w:w="108" w:type="dxa"/>
          </w:tblCellMar>
        </w:tblPrEx>
        <w:trPr>
          <w:trHeight w:val="510" w:hRule="exact"/>
        </w:trPr>
        <w:tc>
          <w:tcPr>
            <w:tcW w:w="233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  计</w:t>
            </w:r>
          </w:p>
        </w:tc>
        <w:tc>
          <w:tcPr>
            <w:tcW w:w="251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7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r>
              <w:rPr>
                <w:rFonts w:hint="eastAsia" w:ascii="宋体" w:hAnsi="宋体" w:cs="宋体"/>
                <w:color w:val="000000"/>
                <w:kern w:val="0"/>
                <w:sz w:val="18"/>
                <w:szCs w:val="18"/>
              </w:rPr>
              <w:t>%</w:t>
            </w:r>
          </w:p>
        </w:tc>
        <w:tc>
          <w:tcPr>
            <w:tcW w:w="198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default" w:ascii="宋体" w:hAnsi="宋体" w:cs="宋体" w:eastAsiaTheme="minorEastAsia"/>
                <w:color w:val="000000"/>
                <w:kern w:val="0"/>
                <w:sz w:val="18"/>
                <w:szCs w:val="18"/>
                <w:lang w:val="en-US" w:eastAsia="zh-CN"/>
              </w:rPr>
            </w:pPr>
            <w:r>
              <w:rPr>
                <w:rFonts w:hint="eastAsia" w:ascii="宋体" w:hAnsi="宋体" w:cs="宋体"/>
                <w:color w:val="000000"/>
                <w:kern w:val="0"/>
                <w:sz w:val="18"/>
                <w:szCs w:val="18"/>
                <w:lang w:val="en-US" w:eastAsia="zh-CN"/>
              </w:rPr>
              <w:t>20</w:t>
            </w:r>
          </w:p>
        </w:tc>
      </w:tr>
    </w:tbl>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对于“预算执行率”，项目经过申请取得财政拨款资金预算数</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万元，实际支付</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万元，结余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根据评分标准，该指标不扣分。</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w:t>
      </w:r>
      <w:r>
        <w:rPr>
          <w:rFonts w:hint="eastAsia" w:ascii="仿宋_GB2312" w:hAnsi="仿宋_GB2312" w:eastAsia="仿宋_GB2312" w:cs="仿宋_GB2312"/>
          <w:sz w:val="32"/>
          <w:szCs w:val="32"/>
          <w:lang w:val="en-US" w:eastAsia="zh-CN"/>
        </w:rPr>
        <w:t>率</w:t>
      </w:r>
      <w:r>
        <w:rPr>
          <w:rFonts w:hint="eastAsia" w:ascii="仿宋_GB2312" w:hAnsi="仿宋_GB2312" w:eastAsia="仿宋_GB2312" w:cs="仿宋_GB2312"/>
          <w:sz w:val="32"/>
          <w:szCs w:val="32"/>
        </w:rPr>
        <w:t>”，项目资金到位及时，到位率为100%。根据评分标准，该指标不扣分。</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对于“资金使用合规性”，地区</w:t>
      </w:r>
      <w:r>
        <w:rPr>
          <w:rFonts w:hint="eastAsia" w:ascii="仿宋_GB2312" w:hAnsi="仿宋_GB2312" w:eastAsia="仿宋_GB2312" w:cs="仿宋_GB2312"/>
          <w:sz w:val="32"/>
          <w:szCs w:val="32"/>
          <w:lang w:eastAsia="zh-CN"/>
        </w:rPr>
        <w:t>工会</w:t>
      </w:r>
      <w:r>
        <w:rPr>
          <w:rFonts w:hint="eastAsia" w:ascii="仿宋_GB2312" w:hAnsi="仿宋_GB2312" w:eastAsia="仿宋_GB2312" w:cs="仿宋_GB2312"/>
          <w:sz w:val="32"/>
          <w:szCs w:val="32"/>
        </w:rPr>
        <w:t>严格按照专项资金列支的范围使用资金，支出范围基本合规；资金支出能按财务制度执行，并能按国库集中支付制度规定执行，该指标不扣分。</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对于“管理制度健全性”，地区</w:t>
      </w:r>
      <w:r>
        <w:rPr>
          <w:rFonts w:hint="eastAsia" w:ascii="仿宋_GB2312" w:hAnsi="仿宋_GB2312" w:eastAsia="仿宋_GB2312" w:cs="仿宋_GB2312"/>
          <w:sz w:val="32"/>
          <w:szCs w:val="32"/>
          <w:lang w:eastAsia="zh-CN"/>
        </w:rPr>
        <w:t>工会办事处</w:t>
      </w:r>
      <w:r>
        <w:rPr>
          <w:rFonts w:hint="eastAsia" w:ascii="仿宋_GB2312" w:hAnsi="仿宋_GB2312" w:eastAsia="仿宋_GB2312" w:cs="仿宋_GB2312"/>
          <w:sz w:val="32"/>
          <w:szCs w:val="32"/>
        </w:rPr>
        <w:t>项目办机构健全，分工明确，不存在不相容岗位兼任情况。根据评分标准，该指标不扣分。</w:t>
      </w:r>
    </w:p>
    <w:p>
      <w:pPr>
        <w:pStyle w:val="9"/>
        <w:keepNext w:val="0"/>
        <w:keepLines w:val="0"/>
        <w:pageBreakBefore w:val="0"/>
        <w:kinsoku/>
        <w:wordWrap/>
        <w:overflowPunct/>
        <w:topLinePunct w:val="0"/>
        <w:autoSpaceDE/>
        <w:autoSpaceDN/>
        <w:bidi w:val="0"/>
        <w:adjustRightInd/>
        <w:spacing w:line="560" w:lineRule="exact"/>
        <w:ind w:firstLine="624" w:firstLineChars="195"/>
        <w:rPr>
          <w:rFonts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w:t>
      </w:r>
      <w:r>
        <w:rPr>
          <w:rFonts w:hint="eastAsia"/>
          <w:lang w:eastAsia="zh-CN"/>
        </w:rPr>
        <w:tab/>
      </w:r>
      <w:r>
        <w:rPr>
          <w:rFonts w:hint="eastAsia" w:ascii="仿宋_GB2312" w:hAnsi="仿宋_GB2312" w:eastAsia="仿宋_GB2312" w:cs="仿宋_GB2312"/>
          <w:sz w:val="32"/>
          <w:szCs w:val="32"/>
        </w:rPr>
        <w:t>地区</w:t>
      </w:r>
      <w:r>
        <w:rPr>
          <w:rFonts w:hint="eastAsia" w:ascii="仿宋_GB2312" w:hAnsi="仿宋_GB2312" w:eastAsia="仿宋_GB2312" w:cs="仿宋_GB2312"/>
          <w:sz w:val="32"/>
          <w:szCs w:val="32"/>
          <w:lang w:eastAsia="zh-CN"/>
        </w:rPr>
        <w:t>工会坚持</w:t>
      </w:r>
      <w:r>
        <w:rPr>
          <w:rFonts w:hint="eastAsia" w:ascii="仿宋_GB2312" w:hAnsi="仿宋_GB2312" w:eastAsia="仿宋_GB2312" w:cs="仿宋_GB2312"/>
          <w:kern w:val="2"/>
          <w:sz w:val="32"/>
          <w:szCs w:val="32"/>
          <w:lang w:val="en-US" w:eastAsia="zh-CN" w:bidi="ar-SA"/>
        </w:rPr>
        <w:t>项目实施制度，一是公开、公正、科学、高效原则，二是集中使用、突出重点、择优安排原则，三是专款专用、专户专帐原则，四是依法行政、规范管理原则。</w:t>
      </w:r>
      <w:r>
        <w:rPr>
          <w:rFonts w:hint="eastAsia" w:ascii="仿宋_GB2312" w:hAnsi="仿宋_GB2312" w:eastAsia="仿宋_GB2312" w:cs="仿宋_GB2312"/>
          <w:sz w:val="32"/>
          <w:szCs w:val="32"/>
        </w:rPr>
        <w:t>根据评分标准，该指标不扣分。</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（三）项目产出情况</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项目绩效主要从项目产出的产出数量、产出质量、产出时效、</w:t>
      </w:r>
      <w:r>
        <w:rPr>
          <w:rFonts w:hint="eastAsia" w:ascii="仿宋_GB2312" w:hAnsi="仿宋_GB2312" w:eastAsia="仿宋_GB2312" w:cs="仿宋_GB2312"/>
          <w:sz w:val="32"/>
          <w:szCs w:val="32"/>
          <w:lang w:val="en-US" w:eastAsia="zh-CN"/>
        </w:rPr>
        <w:t>产出</w:t>
      </w:r>
      <w:r>
        <w:rPr>
          <w:rFonts w:hint="eastAsia" w:ascii="仿宋_GB2312" w:hAnsi="仿宋_GB2312" w:eastAsia="仿宋_GB2312" w:cs="仿宋_GB2312"/>
          <w:sz w:val="32"/>
          <w:szCs w:val="32"/>
        </w:rPr>
        <w:t>成本</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个方面对项目的绩效情况进行评价。项目绩效类指标分值40分，实际得分</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%。项目绩效指标得分情况如表所示：</w:t>
      </w:r>
    </w:p>
    <w:tbl>
      <w:tblPr>
        <w:tblStyle w:val="6"/>
        <w:tblW w:w="8856" w:type="dxa"/>
        <w:tblInd w:w="0" w:type="dxa"/>
        <w:tblLayout w:type="fixed"/>
        <w:tblCellMar>
          <w:top w:w="0" w:type="dxa"/>
          <w:left w:w="108" w:type="dxa"/>
          <w:bottom w:w="0" w:type="dxa"/>
          <w:right w:w="108" w:type="dxa"/>
        </w:tblCellMar>
      </w:tblPr>
      <w:tblGrid>
        <w:gridCol w:w="2632"/>
        <w:gridCol w:w="2075"/>
        <w:gridCol w:w="2073"/>
        <w:gridCol w:w="2076"/>
      </w:tblGrid>
      <w:tr>
        <w:tblPrEx>
          <w:tblCellMar>
            <w:top w:w="0" w:type="dxa"/>
            <w:left w:w="108" w:type="dxa"/>
            <w:bottom w:w="0" w:type="dxa"/>
            <w:right w:w="108" w:type="dxa"/>
          </w:tblCellMar>
        </w:tblPrEx>
        <w:trPr>
          <w:trHeight w:val="510" w:hRule="exact"/>
          <w:tblHeader/>
        </w:trPr>
        <w:tc>
          <w:tcPr>
            <w:tcW w:w="2632" w:type="dxa"/>
            <w:tcBorders>
              <w:top w:val="single" w:color="auto" w:sz="4" w:space="0"/>
              <w:left w:val="single" w:color="auto" w:sz="8" w:space="0"/>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075" w:type="dxa"/>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2073" w:type="dxa"/>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2076" w:type="dxa"/>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632"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207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07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207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108" w:type="dxa"/>
            <w:bottom w:w="0" w:type="dxa"/>
            <w:right w:w="108" w:type="dxa"/>
          </w:tblCellMar>
        </w:tblPrEx>
        <w:trPr>
          <w:trHeight w:val="510" w:hRule="exact"/>
        </w:trPr>
        <w:tc>
          <w:tcPr>
            <w:tcW w:w="2632"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207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07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7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2632"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207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07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r>
              <w:rPr>
                <w:rFonts w:hint="eastAsia" w:ascii="宋体" w:hAnsi="宋体" w:eastAsia="宋体" w:cs="宋体"/>
                <w:color w:val="000000"/>
                <w:kern w:val="0"/>
                <w:sz w:val="18"/>
                <w:szCs w:val="18"/>
              </w:rPr>
              <w:t>0%</w:t>
            </w:r>
          </w:p>
        </w:tc>
        <w:tc>
          <w:tcPr>
            <w:tcW w:w="207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108" w:type="dxa"/>
            <w:bottom w:w="0" w:type="dxa"/>
            <w:right w:w="108" w:type="dxa"/>
          </w:tblCellMar>
        </w:tblPrEx>
        <w:trPr>
          <w:trHeight w:val="510" w:hRule="exact"/>
        </w:trPr>
        <w:tc>
          <w:tcPr>
            <w:tcW w:w="2632"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成本情况</w:t>
            </w:r>
          </w:p>
        </w:tc>
        <w:tc>
          <w:tcPr>
            <w:tcW w:w="207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07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7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2632"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207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2073"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207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40</w:t>
            </w:r>
          </w:p>
        </w:tc>
      </w:tr>
    </w:tbl>
    <w:p>
      <w:pPr>
        <w:keepNext w:val="0"/>
        <w:keepLines w:val="0"/>
        <w:pageBreakBefore w:val="0"/>
        <w:kinsoku/>
        <w:wordWrap/>
        <w:overflowPunct/>
        <w:topLinePunct w:val="0"/>
        <w:autoSpaceDE/>
        <w:autoSpaceDN/>
        <w:bidi w:val="0"/>
        <w:adjustRightInd/>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对于“产出数量”，工程项目数量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目标值为1个，实际完成值为1个，指标完成率为100%；学员的增长率，目标值为≥25%，指标完成率为25%，指标完成率为100%。</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对于“产出质量”，项目完工的使用率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目标值为=100%，实际完成值为100%，指标完成率为100%；工程质量达标率，目标值为≥98%，实际完成值为98%，指标完成率为100%。</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对于“产出时效”，项目完成支付时间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目标值为2020年10月31日完成，实际完成值为100%。指标完成率为100%</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val="en-US" w:eastAsia="zh-CN"/>
        </w:rPr>
        <w:t>产出</w:t>
      </w:r>
      <w:r>
        <w:rPr>
          <w:rFonts w:hint="eastAsia" w:ascii="仿宋_GB2312" w:hAnsi="仿宋_GB2312" w:eastAsia="仿宋_GB2312" w:cs="仿宋_GB2312"/>
          <w:sz w:val="32"/>
          <w:szCs w:val="32"/>
        </w:rPr>
        <w:t>成本”，工程尾款金额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目标值为=52000元，实际完成值为52000元，指标完成率为100%。</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（四）项目效果情况</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项目绩效主要从项目的社会效益、</w:t>
      </w:r>
      <w:r>
        <w:rPr>
          <w:rFonts w:hint="eastAsia" w:ascii="仿宋_GB2312" w:hAnsi="仿宋_GB2312" w:eastAsia="仿宋_GB2312" w:cs="仿宋_GB2312"/>
          <w:sz w:val="32"/>
          <w:szCs w:val="32"/>
          <w:lang w:eastAsia="zh-CN"/>
        </w:rPr>
        <w:t>生态</w:t>
      </w:r>
      <w:r>
        <w:rPr>
          <w:rFonts w:hint="eastAsia" w:ascii="仿宋_GB2312" w:hAnsi="仿宋_GB2312" w:eastAsia="仿宋_GB2312" w:cs="仿宋_GB2312"/>
          <w:sz w:val="32"/>
          <w:szCs w:val="32"/>
        </w:rPr>
        <w:t>效益、可持续影响指标、服务对象满意度4个方面对项目的绩效情况进行评价。项目绩效类指标分值20分，实际得分</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%。项目绩效指标得分情况如表所示：</w:t>
      </w:r>
    </w:p>
    <w:tbl>
      <w:tblPr>
        <w:tblStyle w:val="6"/>
        <w:tblW w:w="8710" w:type="dxa"/>
        <w:tblInd w:w="0" w:type="dxa"/>
        <w:tblLayout w:type="fixed"/>
        <w:tblCellMar>
          <w:top w:w="0" w:type="dxa"/>
          <w:left w:w="0" w:type="dxa"/>
          <w:bottom w:w="0" w:type="dxa"/>
          <w:right w:w="0" w:type="dxa"/>
        </w:tblCellMar>
      </w:tblPr>
      <w:tblGrid>
        <w:gridCol w:w="1579"/>
        <w:gridCol w:w="3279"/>
        <w:gridCol w:w="1715"/>
        <w:gridCol w:w="1068"/>
        <w:gridCol w:w="1069"/>
      </w:tblGrid>
      <w:tr>
        <w:tblPrEx>
          <w:tblCellMar>
            <w:top w:w="0" w:type="dxa"/>
            <w:left w:w="0" w:type="dxa"/>
            <w:bottom w:w="0" w:type="dxa"/>
            <w:right w:w="0" w:type="dxa"/>
          </w:tblCellMar>
        </w:tblPrEx>
        <w:trPr>
          <w:trHeight w:val="260" w:hRule="atLeast"/>
        </w:trPr>
        <w:tc>
          <w:tcPr>
            <w:tcW w:w="48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bottom"/>
              <w:rPr>
                <w:rFonts w:ascii="宋体" w:hAnsi="宋体" w:cs="宋体"/>
                <w:color w:val="000000"/>
                <w:sz w:val="18"/>
                <w:szCs w:val="18"/>
              </w:rPr>
            </w:pPr>
            <w:r>
              <w:rPr>
                <w:rFonts w:hint="eastAsia" w:ascii="宋体" w:hAnsi="宋体" w:cs="宋体"/>
                <w:color w:val="000000"/>
                <w:kern w:val="0"/>
                <w:sz w:val="18"/>
                <w:szCs w:val="18"/>
              </w:rPr>
              <w:t>三级指标</w:t>
            </w:r>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left"/>
              <w:textAlignment w:val="bottom"/>
              <w:rPr>
                <w:rFonts w:ascii="宋体" w:hAnsi="宋体" w:cs="宋体"/>
                <w:color w:val="000000"/>
                <w:sz w:val="18"/>
                <w:szCs w:val="18"/>
              </w:rPr>
            </w:pPr>
            <w:r>
              <w:rPr>
                <w:rFonts w:hint="eastAsia" w:ascii="宋体" w:hAnsi="宋体" w:cs="宋体"/>
                <w:color w:val="000000"/>
                <w:kern w:val="0"/>
                <w:sz w:val="18"/>
                <w:szCs w:val="18"/>
              </w:rPr>
              <w:t>分值</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left"/>
              <w:textAlignment w:val="bottom"/>
              <w:rPr>
                <w:rFonts w:ascii="宋体" w:hAnsi="宋体" w:cs="宋体"/>
                <w:color w:val="000000"/>
                <w:sz w:val="18"/>
                <w:szCs w:val="18"/>
              </w:rPr>
            </w:pPr>
            <w:r>
              <w:rPr>
                <w:rFonts w:hint="eastAsia" w:ascii="宋体" w:hAnsi="宋体" w:cs="宋体"/>
                <w:color w:val="000000"/>
                <w:kern w:val="0"/>
                <w:sz w:val="18"/>
                <w:szCs w:val="18"/>
              </w:rPr>
              <w:t>得分率</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left"/>
              <w:textAlignment w:val="bottom"/>
              <w:rPr>
                <w:rFonts w:ascii="宋体" w:hAnsi="宋体" w:cs="宋体"/>
                <w:color w:val="000000"/>
                <w:sz w:val="18"/>
                <w:szCs w:val="18"/>
              </w:rPr>
            </w:pPr>
            <w:r>
              <w:rPr>
                <w:rFonts w:hint="eastAsia" w:ascii="宋体" w:hAnsi="宋体" w:cs="宋体"/>
                <w:color w:val="000000"/>
                <w:kern w:val="0"/>
                <w:sz w:val="18"/>
                <w:szCs w:val="18"/>
              </w:rPr>
              <w:t>得分</w:t>
            </w:r>
          </w:p>
        </w:tc>
      </w:tr>
      <w:tr>
        <w:tblPrEx>
          <w:tblCellMar>
            <w:top w:w="0" w:type="dxa"/>
            <w:left w:w="0" w:type="dxa"/>
            <w:bottom w:w="0" w:type="dxa"/>
            <w:right w:w="0" w:type="dxa"/>
          </w:tblCellMar>
        </w:tblPrEx>
        <w:trPr>
          <w:trHeight w:val="444" w:hRule="atLeast"/>
        </w:trPr>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实施效益</w:t>
            </w:r>
          </w:p>
        </w:tc>
        <w:tc>
          <w:tcPr>
            <w:tcW w:w="32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社会效益</w:t>
            </w:r>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0" w:type="dxa"/>
            <w:bottom w:w="0" w:type="dxa"/>
            <w:right w:w="0" w:type="dxa"/>
          </w:tblCellMar>
        </w:tblPrEx>
        <w:trPr>
          <w:trHeight w:val="374" w:hRule="atLeast"/>
        </w:trPr>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2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lang w:eastAsia="zh-CN"/>
              </w:rPr>
              <w:t>生态</w:t>
            </w:r>
            <w:r>
              <w:rPr>
                <w:rFonts w:hint="eastAsia" w:ascii="宋体" w:hAnsi="宋体" w:cs="宋体"/>
                <w:color w:val="000000"/>
                <w:kern w:val="0"/>
                <w:sz w:val="18"/>
                <w:szCs w:val="18"/>
              </w:rPr>
              <w:t>效益</w:t>
            </w:r>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80</w:t>
            </w:r>
            <w:r>
              <w:rPr>
                <w:rFonts w:hint="eastAsia" w:ascii="宋体" w:hAnsi="宋体" w:cs="宋体"/>
                <w:color w:val="000000"/>
                <w:kern w:val="0"/>
                <w:sz w:val="18"/>
                <w:szCs w:val="18"/>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4</w:t>
            </w:r>
          </w:p>
        </w:tc>
      </w:tr>
      <w:tr>
        <w:tblPrEx>
          <w:tblCellMar>
            <w:top w:w="0" w:type="dxa"/>
            <w:left w:w="0" w:type="dxa"/>
            <w:bottom w:w="0" w:type="dxa"/>
            <w:right w:w="0" w:type="dxa"/>
          </w:tblCellMar>
        </w:tblPrEx>
        <w:trPr>
          <w:trHeight w:val="310" w:hRule="atLeast"/>
        </w:trPr>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2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可持续影响指标</w:t>
            </w:r>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r>
      <w:tr>
        <w:tblPrEx>
          <w:tblCellMar>
            <w:top w:w="0" w:type="dxa"/>
            <w:left w:w="0" w:type="dxa"/>
            <w:bottom w:w="0" w:type="dxa"/>
            <w:right w:w="0" w:type="dxa"/>
          </w:tblCellMar>
        </w:tblPrEx>
        <w:trPr>
          <w:trHeight w:val="310" w:hRule="atLeast"/>
        </w:trPr>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满意度</w:t>
            </w:r>
          </w:p>
        </w:tc>
        <w:tc>
          <w:tcPr>
            <w:tcW w:w="32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学员</w:t>
            </w:r>
            <w:r>
              <w:rPr>
                <w:rFonts w:hint="eastAsia" w:ascii="宋体" w:hAnsi="宋体" w:cs="宋体"/>
                <w:color w:val="000000"/>
                <w:kern w:val="0"/>
                <w:sz w:val="18"/>
                <w:szCs w:val="18"/>
              </w:rPr>
              <w:t>满意度</w:t>
            </w:r>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100</w:t>
            </w:r>
            <w:r>
              <w:rPr>
                <w:rFonts w:hint="eastAsia" w:ascii="宋体" w:hAnsi="宋体" w:cs="宋体"/>
                <w:color w:val="000000"/>
                <w:kern w:val="0"/>
                <w:sz w:val="18"/>
                <w:szCs w:val="18"/>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5</w:t>
            </w:r>
          </w:p>
        </w:tc>
      </w:tr>
      <w:tr>
        <w:tblPrEx>
          <w:tblCellMar>
            <w:top w:w="0" w:type="dxa"/>
            <w:left w:w="0" w:type="dxa"/>
            <w:bottom w:w="0" w:type="dxa"/>
            <w:right w:w="0" w:type="dxa"/>
          </w:tblCellMar>
        </w:tblPrEx>
        <w:trPr>
          <w:trHeight w:val="310" w:hRule="atLeast"/>
        </w:trPr>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p>
        </w:tc>
        <w:tc>
          <w:tcPr>
            <w:tcW w:w="32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合</w:t>
            </w:r>
            <w:r>
              <w:rPr>
                <w:rFonts w:hint="default" w:ascii="宋体" w:hAnsi="宋体" w:cs="宋体"/>
                <w:color w:val="000000"/>
                <w:kern w:val="0"/>
                <w:sz w:val="18"/>
                <w:szCs w:val="18"/>
              </w:rPr>
              <w:t xml:space="preserve">  计</w:t>
            </w:r>
          </w:p>
        </w:tc>
        <w:tc>
          <w:tcPr>
            <w:tcW w:w="17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95</w:t>
            </w:r>
            <w:r>
              <w:rPr>
                <w:rFonts w:hint="eastAsia" w:ascii="宋体" w:hAnsi="宋体" w:cs="宋体"/>
                <w:color w:val="000000"/>
                <w:kern w:val="0"/>
                <w:sz w:val="18"/>
                <w:szCs w:val="18"/>
              </w:rPr>
              <w:t>%</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pacing w:line="560" w:lineRule="exact"/>
              <w:jc w:val="center"/>
              <w:textAlignment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19</w:t>
            </w:r>
          </w:p>
        </w:tc>
      </w:tr>
    </w:tbl>
    <w:p>
      <w:pPr>
        <w:keepNext w:val="0"/>
        <w:keepLines w:val="0"/>
        <w:pageBreakBefore w:val="0"/>
        <w:kinsoku/>
        <w:wordWrap/>
        <w:overflowPunct/>
        <w:topLinePunct w:val="0"/>
        <w:autoSpaceDE/>
        <w:autoSpaceDN/>
        <w:bidi w:val="0"/>
        <w:adjustRightInd/>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eastAsia="zh-CN"/>
        </w:rPr>
        <w:t>社会</w:t>
      </w:r>
      <w:r>
        <w:rPr>
          <w:rFonts w:hint="eastAsia" w:ascii="仿宋_GB2312" w:hAnsi="仿宋_GB2312" w:eastAsia="仿宋_GB2312" w:cs="仿宋_GB2312"/>
          <w:sz w:val="32"/>
          <w:szCs w:val="32"/>
        </w:rPr>
        <w:t>效益”， 生活质量提升率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目标值为逐步提升，实际完成值为100%，指标完成率为100%。</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eastAsia="zh-CN"/>
        </w:rPr>
        <w:t>生态</w:t>
      </w:r>
      <w:r>
        <w:rPr>
          <w:rFonts w:hint="eastAsia" w:ascii="仿宋_GB2312" w:hAnsi="仿宋_GB2312" w:eastAsia="仿宋_GB2312" w:cs="仿宋_GB2312"/>
          <w:sz w:val="32"/>
          <w:szCs w:val="32"/>
        </w:rPr>
        <w:t>效益”，生态环境得到有效保护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目标值为显著提升，实际完成值为98%，指标完成率为98%。</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对于“可持续影响</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”，文化教育事业提升率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目标值为≥25%，实际完成值为25%，指标完成率为100%。</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对于“满意度</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”，学员满意度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目标值为≥95%，实际完成值为95%，指标完成率为100%。</w:t>
      </w:r>
    </w:p>
    <w:p>
      <w:pPr>
        <w:keepNext w:val="0"/>
        <w:keepLines w:val="0"/>
        <w:pageBreakBefore w:val="0"/>
        <w:kinsoku/>
        <w:wordWrap/>
        <w:overflowPunct/>
        <w:topLinePunct w:val="0"/>
        <w:autoSpaceDE/>
        <w:autoSpaceDN/>
        <w:bidi w:val="0"/>
        <w:adjustRightInd/>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五、主要经验及做法、存在的问题及原因分析</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（一）主要经验及做法</w:t>
      </w:r>
    </w:p>
    <w:p>
      <w:pPr>
        <w:pStyle w:val="9"/>
        <w:keepNext w:val="0"/>
        <w:keepLines w:val="0"/>
        <w:pageBreakBefore w:val="0"/>
        <w:kinsoku/>
        <w:wordWrap/>
        <w:overflowPunct/>
        <w:topLinePunct w:val="0"/>
        <w:autoSpaceDE/>
        <w:autoSpaceDN/>
        <w:bidi w:val="0"/>
        <w:adjustRightInd/>
        <w:spacing w:line="560" w:lineRule="exac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根据塔地党财纪字〔2020〕2号文，向财政部分申请已上缴的房租收入5.2万元，及时将欠款打入到塔城银河建筑安装工程有限公司。</w:t>
      </w:r>
    </w:p>
    <w:p>
      <w:pPr>
        <w:keepNext w:val="0"/>
        <w:keepLines w:val="0"/>
        <w:pageBreakBefore w:val="0"/>
        <w:kinsoku/>
        <w:wordWrap/>
        <w:overflowPunct/>
        <w:topLinePunct w:val="0"/>
        <w:autoSpaceDE/>
        <w:autoSpaceDN/>
        <w:bidi w:val="0"/>
        <w:adjustRightInd/>
        <w:spacing w:line="560" w:lineRule="exac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（二）存在的问题及原因分析</w:t>
      </w:r>
    </w:p>
    <w:p>
      <w:pPr>
        <w:pStyle w:val="9"/>
        <w:keepNext w:val="0"/>
        <w:keepLines w:val="0"/>
        <w:pageBreakBefore w:val="0"/>
        <w:kinsoku/>
        <w:wordWrap/>
        <w:overflowPunct/>
        <w:topLinePunct w:val="0"/>
        <w:autoSpaceDE/>
        <w:autoSpaceDN/>
        <w:bidi w:val="0"/>
        <w:adjustRightInd/>
        <w:spacing w:line="560" w:lineRule="exact"/>
        <w:rPr>
          <w:rFonts w:hint="eastAsia" w:ascii="仿宋_GB2312" w:hAnsi="仿宋_GB2312" w:eastAsia="仿宋_GB2312" w:cs="仿宋_GB2312"/>
          <w:kern w:val="2"/>
          <w:sz w:val="32"/>
          <w:szCs w:val="32"/>
          <w:lang w:val="en-US" w:eastAsia="zh-CN" w:bidi="ar-SA"/>
        </w:rPr>
      </w:pPr>
      <w:r>
        <w:rPr>
          <w:rFonts w:hint="eastAsia"/>
          <w:lang w:eastAsia="zh-CN"/>
        </w:rPr>
        <w:tab/>
      </w:r>
      <w:r>
        <w:rPr>
          <w:rFonts w:hint="eastAsia" w:ascii="仿宋_GB2312" w:hAnsi="仿宋_GB2312" w:eastAsia="仿宋_GB2312" w:cs="仿宋_GB2312"/>
          <w:kern w:val="2"/>
          <w:sz w:val="32"/>
          <w:szCs w:val="32"/>
          <w:lang w:val="en-US" w:eastAsia="zh-CN" w:bidi="ar-SA"/>
        </w:rPr>
        <w:t>本项目是以前年度社会主义学院欠下的工程尾款，在和地方财政部门、机关事务局多次沟通下，上报地委，将社会主义学院以前年度收取的房租费归还所欠的工程款，于2020年12月份将已上缴财政的房租款申请回资金52000元。支付了工程尾款。</w:t>
      </w:r>
    </w:p>
    <w:p>
      <w:pPr>
        <w:keepNext w:val="0"/>
        <w:keepLines w:val="0"/>
        <w:pageBreakBefore w:val="0"/>
        <w:kinsoku/>
        <w:wordWrap/>
        <w:overflowPunct/>
        <w:topLinePunct w:val="0"/>
        <w:autoSpaceDE/>
        <w:autoSpaceDN/>
        <w:bidi w:val="0"/>
        <w:adjustRightInd/>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六、有关建议</w:t>
      </w:r>
    </w:p>
    <w:p>
      <w:pPr>
        <w:pStyle w:val="9"/>
        <w:keepNext w:val="0"/>
        <w:keepLines w:val="0"/>
        <w:pageBreakBefore w:val="0"/>
        <w:kinsoku/>
        <w:wordWrap/>
        <w:overflowPunct/>
        <w:topLinePunct w:val="0"/>
        <w:autoSpaceDE/>
        <w:autoSpaceDN/>
        <w:bidi w:val="0"/>
        <w:adjustRightInd/>
        <w:spacing w:line="560" w:lineRule="exact"/>
        <w:ind w:firstLine="624" w:firstLineChars="195"/>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1.加强项目管理。对经常性地项目，提高资金使用效率，克服困难，加快项目进程。</w:t>
      </w:r>
    </w:p>
    <w:p>
      <w:pPr>
        <w:pStyle w:val="9"/>
        <w:keepNext w:val="0"/>
        <w:keepLines w:val="0"/>
        <w:pageBreakBefore w:val="0"/>
        <w:kinsoku/>
        <w:wordWrap/>
        <w:overflowPunct/>
        <w:topLinePunct w:val="0"/>
        <w:autoSpaceDE/>
        <w:autoSpaceDN/>
        <w:bidi w:val="0"/>
        <w:adjustRightInd/>
        <w:spacing w:line="560" w:lineRule="exact"/>
        <w:ind w:firstLine="624" w:firstLineChars="195"/>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加强预算绩效管理。各类支出均严格按照财政管理制度要求，做到规范管理、绩效引导，在项目保质保量完成的情况下严格控制在预算内。严格落实内控机制，项目实施全过程按照内控机制加强管理，实施后，按照要求开展项目支出的绩效评价。 </w:t>
      </w:r>
    </w:p>
    <w:p>
      <w:pPr>
        <w:pStyle w:val="9"/>
        <w:keepNext w:val="0"/>
        <w:keepLines w:val="0"/>
        <w:pageBreakBefore w:val="0"/>
        <w:kinsoku/>
        <w:wordWrap/>
        <w:overflowPunct/>
        <w:topLinePunct w:val="0"/>
        <w:autoSpaceDE/>
        <w:autoSpaceDN/>
        <w:bidi w:val="0"/>
        <w:adjustRightInd/>
        <w:spacing w:line="560" w:lineRule="exact"/>
        <w:ind w:firstLine="624" w:firstLineChars="195"/>
        <w:rPr>
          <w:rFonts w:hint="eastAsia"/>
          <w:lang w:eastAsia="zh-CN"/>
        </w:rPr>
      </w:pPr>
      <w:r>
        <w:rPr>
          <w:rFonts w:hint="eastAsia" w:ascii="仿宋_GB2312" w:hAnsi="仿宋_GB2312" w:eastAsia="仿宋_GB2312" w:cs="仿宋_GB2312"/>
          <w:kern w:val="2"/>
          <w:sz w:val="32"/>
          <w:szCs w:val="32"/>
          <w:lang w:val="en-US" w:eastAsia="zh-CN" w:bidi="ar-SA"/>
        </w:rPr>
        <w:t>3.加强财务管理，严格财务审核。切实做到专款专用，在费用报账支付时，按照预算规定的费用项目和用途进行资金使用审核，杜绝超支现象的发生。</w:t>
      </w:r>
    </w:p>
    <w:p>
      <w:pPr>
        <w:keepNext w:val="0"/>
        <w:keepLines w:val="0"/>
        <w:pageBreakBefore w:val="0"/>
        <w:kinsoku/>
        <w:wordWrap/>
        <w:overflowPunct/>
        <w:topLinePunct w:val="0"/>
        <w:autoSpaceDE/>
        <w:autoSpaceDN/>
        <w:bidi w:val="0"/>
        <w:adjustRightInd/>
        <w:spacing w:line="560" w:lineRule="exact"/>
        <w:ind w:firstLine="643" w:firstLineChars="200"/>
        <w:jc w:val="left"/>
        <w:rPr>
          <w:b/>
          <w:bCs/>
        </w:rPr>
      </w:pPr>
      <w:r>
        <w:rPr>
          <w:rFonts w:hint="eastAsia" w:ascii="黑体" w:hAnsi="黑体" w:eastAsia="黑体" w:cs="黑体"/>
          <w:b/>
          <w:bCs/>
          <w:sz w:val="32"/>
          <w:szCs w:val="32"/>
        </w:rPr>
        <w:t>七、其他需要说明的问题</w:t>
      </w:r>
    </w:p>
    <w:p>
      <w:pPr>
        <w:keepNext w:val="0"/>
        <w:keepLines w:val="0"/>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pacing w:line="560" w:lineRule="exact"/>
        <w:rPr>
          <w:rFonts w:hint="eastAsia"/>
        </w:rPr>
      </w:pPr>
    </w:p>
    <w:p>
      <w:pPr>
        <w:keepNext w:val="0"/>
        <w:keepLines w:val="0"/>
        <w:pageBreakBefore w:val="0"/>
        <w:kinsoku/>
        <w:wordWrap/>
        <w:overflowPunct/>
        <w:topLinePunct w:val="0"/>
        <w:autoSpaceDE/>
        <w:autoSpaceDN/>
        <w:bidi w:val="0"/>
        <w:adjustRightInd/>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项目支出自评表</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：评价依据</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：综合评分表</w:t>
      </w:r>
    </w:p>
    <w:p>
      <w:pPr>
        <w:keepNext w:val="0"/>
        <w:keepLines w:val="0"/>
        <w:pageBreakBefore w:val="0"/>
        <w:kinsoku/>
        <w:wordWrap/>
        <w:overflowPunct/>
        <w:topLinePunct w:val="0"/>
        <w:autoSpaceDE/>
        <w:autoSpaceDN/>
        <w:bidi w:val="0"/>
        <w:adjustRightIn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：基础数据采集表</w:t>
      </w:r>
    </w:p>
    <w:p>
      <w:pPr>
        <w:keepNext w:val="0"/>
        <w:keepLines w:val="0"/>
        <w:pageBreakBefore w:val="0"/>
        <w:kinsoku/>
        <w:wordWrap/>
        <w:overflowPunct/>
        <w:topLinePunct w:val="0"/>
        <w:autoSpaceDE/>
        <w:autoSpaceDN/>
        <w:bidi w:val="0"/>
        <w:adjustRightInd/>
        <w:spacing w:line="560" w:lineRule="exact"/>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60" w:lineRule="exact"/>
        <w:ind w:firstLine="1920" w:firstLineChars="6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新疆维吾尔自治区总工会塔城地区办事处</w:t>
      </w:r>
    </w:p>
    <w:p>
      <w:pPr>
        <w:keepNext w:val="0"/>
        <w:keepLines w:val="0"/>
        <w:pageBreakBefore w:val="0"/>
        <w:kinsoku/>
        <w:wordWrap/>
        <w:overflowPunct/>
        <w:topLinePunct w:val="0"/>
        <w:autoSpaceDE/>
        <w:autoSpaceDN/>
        <w:bidi w:val="0"/>
        <w:adjustRightInd/>
        <w:spacing w:line="560" w:lineRule="exact"/>
        <w:ind w:firstLine="4160" w:firstLineChars="13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年4月</w:t>
      </w:r>
      <w:r>
        <w:rPr>
          <w:rFonts w:hint="eastAsia" w:ascii="仿宋_GB2312" w:hAnsi="仿宋_GB2312" w:eastAsia="仿宋_GB2312" w:cs="仿宋_GB2312"/>
          <w:sz w:val="32"/>
          <w:szCs w:val="32"/>
          <w:lang w:val="en-US" w:eastAsia="zh-CN"/>
        </w:rPr>
        <w:t>8日</w:t>
      </w:r>
    </w:p>
    <w:p>
      <w:pPr>
        <w:keepNext w:val="0"/>
        <w:keepLines w:val="0"/>
        <w:pageBreakBefore w:val="0"/>
        <w:kinsoku/>
        <w:wordWrap/>
        <w:overflowPunct/>
        <w:topLinePunct w:val="0"/>
        <w:autoSpaceDE/>
        <w:autoSpaceDN/>
        <w:bidi w:val="0"/>
        <w:adjustRightInd/>
        <w:spacing w:line="560" w:lineRule="exact"/>
        <w:rPr>
          <w:rFonts w:hint="eastAsia" w:ascii="仿宋_GB2312" w:hAnsi="仿宋_GB2312" w:eastAsia="仿宋_GB2312" w:cs="仿宋_GB2312"/>
          <w:b/>
          <w:bCs/>
          <w:sz w:val="32"/>
          <w:szCs w:val="32"/>
          <w:lang w:val="en-US" w:eastAsia="zh-CN"/>
        </w:rPr>
      </w:pPr>
    </w:p>
    <w:p>
      <w:pPr>
        <w:keepNext w:val="0"/>
        <w:keepLines w:val="0"/>
        <w:pageBreakBefore w:val="0"/>
        <w:kinsoku/>
        <w:wordWrap/>
        <w:overflowPunct/>
        <w:topLinePunct w:val="0"/>
        <w:autoSpaceDE/>
        <w:autoSpaceDN/>
        <w:bidi w:val="0"/>
        <w:adjustRightInd/>
        <w:spacing w:line="560" w:lineRule="exact"/>
        <w:rPr>
          <w:rFonts w:hint="eastAsia" w:ascii="仿宋_GB2312" w:hAnsi="仿宋_GB2312" w:eastAsia="仿宋_GB2312" w:cs="仿宋_GB2312"/>
          <w:b/>
          <w:bCs/>
          <w:sz w:val="32"/>
          <w:szCs w:val="32"/>
          <w:lang w:val="en-US" w:eastAsia="zh-CN"/>
        </w:rPr>
      </w:pPr>
    </w:p>
    <w:p>
      <w:pPr>
        <w:keepNext w:val="0"/>
        <w:keepLines w:val="0"/>
        <w:pageBreakBefore w:val="0"/>
        <w:kinsoku/>
        <w:wordWrap/>
        <w:overflowPunct/>
        <w:topLinePunct w:val="0"/>
        <w:autoSpaceDE/>
        <w:autoSpaceDN/>
        <w:bidi w:val="0"/>
        <w:adjustRightInd/>
        <w:spacing w:line="560" w:lineRule="exac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附件1</w:t>
      </w:r>
    </w:p>
    <w:tbl>
      <w:tblPr>
        <w:tblStyle w:val="6"/>
        <w:tblW w:w="8640" w:type="dxa"/>
        <w:tblInd w:w="96" w:type="dxa"/>
        <w:shd w:val="clear" w:color="auto" w:fill="auto"/>
        <w:tblLayout w:type="autofit"/>
        <w:tblCellMar>
          <w:top w:w="0" w:type="dxa"/>
          <w:left w:w="108" w:type="dxa"/>
          <w:bottom w:w="0" w:type="dxa"/>
          <w:right w:w="108" w:type="dxa"/>
        </w:tblCellMar>
      </w:tblPr>
      <w:tblGrid>
        <w:gridCol w:w="664"/>
        <w:gridCol w:w="664"/>
        <w:gridCol w:w="664"/>
        <w:gridCol w:w="664"/>
        <w:gridCol w:w="664"/>
        <w:gridCol w:w="664"/>
        <w:gridCol w:w="1915"/>
        <w:gridCol w:w="1174"/>
        <w:gridCol w:w="392"/>
        <w:gridCol w:w="1175"/>
      </w:tblGrid>
      <w:tr>
        <w:tblPrEx>
          <w:shd w:val="clear" w:color="auto" w:fill="auto"/>
          <w:tblCellMar>
            <w:top w:w="0" w:type="dxa"/>
            <w:left w:w="108" w:type="dxa"/>
            <w:bottom w:w="0" w:type="dxa"/>
            <w:right w:w="108" w:type="dxa"/>
          </w:tblCellMar>
        </w:tblPrEx>
        <w:trPr>
          <w:trHeight w:val="409" w:hRule="atLeast"/>
        </w:trPr>
        <w:tc>
          <w:tcPr>
            <w:tcW w:w="864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409" w:hRule="atLeast"/>
        </w:trPr>
        <w:tc>
          <w:tcPr>
            <w:tcW w:w="864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8640"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270" w:hRule="atLeast"/>
        </w:trPr>
        <w:tc>
          <w:tcPr>
            <w:tcW w:w="1328"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31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原社会主义学院综合楼工程尾款</w:t>
            </w:r>
          </w:p>
        </w:tc>
      </w:tr>
      <w:tr>
        <w:tblPrEx>
          <w:tblCellMar>
            <w:top w:w="0" w:type="dxa"/>
            <w:left w:w="108" w:type="dxa"/>
            <w:bottom w:w="0" w:type="dxa"/>
            <w:right w:w="108" w:type="dxa"/>
          </w:tblCellMar>
        </w:tblPrEx>
        <w:trPr>
          <w:trHeight w:val="270" w:hRule="atLeast"/>
        </w:trPr>
        <w:tc>
          <w:tcPr>
            <w:tcW w:w="1328"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57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塔城地区工会</w:t>
            </w:r>
          </w:p>
        </w:tc>
      </w:tr>
      <w:tr>
        <w:tblPrEx>
          <w:tblCellMar>
            <w:top w:w="0" w:type="dxa"/>
            <w:left w:w="108" w:type="dxa"/>
            <w:bottom w:w="0" w:type="dxa"/>
            <w:right w:w="108" w:type="dxa"/>
          </w:tblCellMar>
        </w:tblPrEx>
        <w:trPr>
          <w:trHeight w:val="392" w:hRule="atLeast"/>
        </w:trPr>
        <w:tc>
          <w:tcPr>
            <w:tcW w:w="1328" w:type="dxa"/>
            <w:gridSpan w:val="2"/>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64"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rFonts w:hint="default" w:ascii="Arial" w:hAnsi="Arial" w:cs="Arial"/>
                <w:i w:val="0"/>
                <w:iCs w:val="0"/>
                <w:color w:val="000000"/>
                <w:sz w:val="20"/>
                <w:szCs w:val="20"/>
                <w:u w:val="none"/>
              </w:rPr>
            </w:pPr>
          </w:p>
        </w:tc>
        <w:tc>
          <w:tcPr>
            <w:tcW w:w="664" w:type="dxa"/>
            <w:tcBorders>
              <w:top w:val="single" w:color="auto" w:sz="4" w:space="0"/>
              <w:left w:val="single" w:color="auto" w:sz="4" w:space="0"/>
              <w:bottom w:val="single" w:color="auto" w:sz="4" w:space="0"/>
              <w:right w:val="single" w:color="auto" w:sz="4" w:space="0"/>
            </w:tcBorders>
            <w:shd w:val="clear" w:color="auto" w:fill="auto"/>
            <w:noWrap/>
            <w:vAlign w:val="bottom"/>
          </w:tcPr>
          <w:p/>
        </w:tc>
        <w:tc>
          <w:tcPr>
            <w:tcW w:w="6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5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270" w:hRule="atLeast"/>
        </w:trPr>
        <w:tc>
          <w:tcPr>
            <w:tcW w:w="1328" w:type="dxa"/>
            <w:gridSpan w:val="2"/>
            <w:tcBorders>
              <w:left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5.2</w:t>
            </w:r>
          </w:p>
        </w:tc>
        <w:tc>
          <w:tcPr>
            <w:tcW w:w="25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108" w:type="dxa"/>
            <w:bottom w:w="0" w:type="dxa"/>
            <w:right w:w="108" w:type="dxa"/>
          </w:tblCellMar>
        </w:tblPrEx>
        <w:trPr>
          <w:trHeight w:val="372" w:hRule="atLeast"/>
        </w:trPr>
        <w:tc>
          <w:tcPr>
            <w:tcW w:w="1328" w:type="dxa"/>
            <w:gridSpan w:val="2"/>
            <w:tcBorders>
              <w:left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5.20</w:t>
            </w:r>
          </w:p>
        </w:tc>
        <w:tc>
          <w:tcPr>
            <w:tcW w:w="25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5.20</w:t>
            </w: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328" w:type="dxa"/>
            <w:gridSpan w:val="2"/>
            <w:tcBorders>
              <w:left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p>
        </w:tc>
        <w:tc>
          <w:tcPr>
            <w:tcW w:w="25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328" w:type="dxa"/>
            <w:gridSpan w:val="2"/>
            <w:tcBorders>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5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664"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23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74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750" w:hRule="atLeast"/>
        </w:trPr>
        <w:tc>
          <w:tcPr>
            <w:tcW w:w="66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3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提高基础设施支持与良好的环境支持，使塔城文化教学产业基础设施在布局、功能配套上更加完善。进一步促进塔城地区现代文化教学产业的发展及人员的培养，从而产生新的经济增长点。</w:t>
            </w:r>
          </w:p>
        </w:tc>
        <w:tc>
          <w:tcPr>
            <w:tcW w:w="274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提高基础设施支持与良好的环境支持，使塔城文化教学产业基础设施在布局、功能配套上更加完善。进一步促进塔城地区现代文化教学产业的发展及人员的培养，从而产生新的经济增长点。</w:t>
            </w:r>
          </w:p>
        </w:tc>
      </w:tr>
      <w:tr>
        <w:tblPrEx>
          <w:shd w:val="clear" w:color="auto" w:fill="auto"/>
          <w:tblCellMar>
            <w:top w:w="0" w:type="dxa"/>
            <w:left w:w="108" w:type="dxa"/>
            <w:bottom w:w="0" w:type="dxa"/>
            <w:right w:w="108" w:type="dxa"/>
          </w:tblCellMar>
        </w:tblPrEx>
        <w:trPr>
          <w:trHeight w:val="412"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6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92" w:type="dxa"/>
            <w:gridSpan w:val="3"/>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9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17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567" w:type="dxa"/>
            <w:gridSpan w:val="2"/>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165"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64"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64"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9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工程项目数量</w:t>
            </w:r>
          </w:p>
        </w:tc>
        <w:tc>
          <w:tcPr>
            <w:tcW w:w="191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17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567" w:type="dxa"/>
            <w:gridSpan w:val="2"/>
            <w:tcBorders>
              <w:top w:val="single" w:color="auto"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84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学员的增长率</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62"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项目完工的使用率</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工程质量达标率</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286"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项目完成支付时间</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2020年10月31日完成</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2020年10月31日 完成</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43"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工程尾款金额</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=52000元</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52000元</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03"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生活质量提升率</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逐步提升</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03"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生态环境得到有效保护</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03"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文化教育事业提升率</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43"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学员满意度</w:t>
            </w:r>
          </w:p>
        </w:tc>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567"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24" w:hRule="atLeast"/>
        </w:trPr>
        <w:tc>
          <w:tcPr>
            <w:tcW w:w="86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b/>
                <w:i w:val="0"/>
                <w:color w:val="000000"/>
                <w:kern w:val="0"/>
                <w:sz w:val="32"/>
                <w:szCs w:val="32"/>
                <w:u w:val="none"/>
                <w:lang w:val="en-US" w:eastAsia="zh-CN" w:bidi="ar"/>
              </w:rPr>
              <w:t>项目支出绩效自评表</w:t>
            </w:r>
          </w:p>
        </w:tc>
      </w:tr>
    </w:tbl>
    <w:p>
      <w:pPr>
        <w:pStyle w:val="2"/>
        <w:rPr>
          <w:rFonts w:hint="default"/>
          <w:lang w:val="en-US" w:eastAsia="zh-CN"/>
        </w:rPr>
      </w:pPr>
    </w:p>
    <w:p>
      <w:pPr>
        <w:rPr>
          <w:rFonts w:hint="eastAsia" w:ascii="仿宋_GB2312" w:hAnsi="仿宋_GB2312" w:eastAsia="仿宋_GB2312" w:cs="仿宋_GB2312"/>
          <w:b/>
          <w:bCs/>
          <w:sz w:val="32"/>
          <w:szCs w:val="32"/>
        </w:rPr>
      </w:pPr>
    </w:p>
    <w:p>
      <w:pPr>
        <w:pStyle w:val="2"/>
        <w:rPr>
          <w:rFonts w:hint="eastAsia" w:ascii="仿宋_GB2312" w:hAnsi="仿宋_GB2312" w:eastAsia="仿宋_GB2312" w:cs="仿宋_GB2312"/>
          <w:b/>
          <w:bCs/>
          <w:sz w:val="32"/>
          <w:szCs w:val="32"/>
        </w:rPr>
      </w:pPr>
    </w:p>
    <w:p>
      <w:pPr>
        <w:rPr>
          <w:rFonts w:hint="eastAsia" w:ascii="仿宋_GB2312" w:hAnsi="仿宋_GB2312" w:eastAsia="仿宋_GB2312" w:cs="仿宋_GB2312"/>
          <w:b/>
          <w:bCs/>
          <w:sz w:val="32"/>
          <w:szCs w:val="32"/>
        </w:rPr>
      </w:pPr>
    </w:p>
    <w:p>
      <w:pPr>
        <w:pStyle w:val="2"/>
        <w:rPr>
          <w:rFonts w:hint="eastAsia" w:ascii="仿宋_GB2312" w:hAnsi="仿宋_GB2312" w:eastAsia="仿宋_GB2312" w:cs="仿宋_GB2312"/>
          <w:b/>
          <w:bCs/>
          <w:sz w:val="32"/>
          <w:szCs w:val="32"/>
        </w:rPr>
      </w:pPr>
    </w:p>
    <w:p>
      <w:pPr>
        <w:rPr>
          <w:rFonts w:hint="eastAsia" w:ascii="仿宋_GB2312" w:hAnsi="仿宋_GB2312" w:eastAsia="仿宋_GB2312" w:cs="仿宋_GB2312"/>
          <w:b/>
          <w:bCs/>
          <w:sz w:val="32"/>
          <w:szCs w:val="32"/>
        </w:rPr>
      </w:pPr>
    </w:p>
    <w:p>
      <w:pPr>
        <w:pStyle w:val="2"/>
        <w:rPr>
          <w:rFonts w:hint="eastAsia" w:ascii="仿宋_GB2312" w:hAnsi="仿宋_GB2312" w:eastAsia="仿宋_GB2312" w:cs="仿宋_GB2312"/>
          <w:b/>
          <w:bCs/>
          <w:sz w:val="32"/>
          <w:szCs w:val="32"/>
        </w:rPr>
      </w:pPr>
    </w:p>
    <w:p>
      <w:pPr>
        <w:rPr>
          <w:rFonts w:hint="eastAsia" w:ascii="仿宋_GB2312" w:hAnsi="仿宋_GB2312" w:eastAsia="仿宋_GB2312" w:cs="仿宋_GB2312"/>
          <w:b/>
          <w:bCs/>
          <w:sz w:val="32"/>
          <w:szCs w:val="32"/>
        </w:rPr>
      </w:pPr>
    </w:p>
    <w:p>
      <w:pPr>
        <w:pStyle w:val="2"/>
        <w:rPr>
          <w:rFonts w:hint="eastAsia"/>
        </w:rPr>
      </w:pPr>
    </w:p>
    <w:p>
      <w:pPr>
        <w:pStyle w:val="2"/>
        <w:keepNext w:val="0"/>
        <w:keepLines w:val="0"/>
        <w:pageBreakBefore w:val="0"/>
        <w:kinsoku/>
        <w:wordWrap/>
        <w:overflowPunct/>
        <w:topLinePunct w:val="0"/>
        <w:autoSpaceDE/>
        <w:autoSpaceDN/>
        <w:bidi w:val="0"/>
        <w:adjustRightInd/>
        <w:snapToGrid/>
        <w:spacing w:before="0" w:after="0" w:line="560" w:lineRule="exact"/>
        <w:jc w:val="both"/>
        <w:textAlignment w:val="auto"/>
        <w:rPr>
          <w:rFonts w:hint="eastAsia"/>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附件</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：评价依据</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本次绩效评价所依据的主要政策文件有：</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1、《财政部关于印发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项目支出绩效评价管理办法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的通知》（财预〔2020〕10号）；</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自治区部门预算项目支出绩效目标参考表（2019年度）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的通知》（新财预〔2019〕129号）；</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塔城地区项目支出绩效评价管理办法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的通知（塔地财预〔2020〕15号）；</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根据塔地财经办〔</w:t>
      </w:r>
      <w:r>
        <w:rPr>
          <w:rFonts w:hint="eastAsia" w:ascii="仿宋_GB2312" w:hAnsi="仿宋_GB2312" w:eastAsia="仿宋_GB2312" w:cs="仿宋_GB2312"/>
          <w:sz w:val="32"/>
          <w:szCs w:val="32"/>
          <w:lang w:val="en-US" w:eastAsia="zh-CN"/>
        </w:rPr>
        <w:t>2018〕56号文《关于社会主义学院原综合楼工程资产划拨的通知》；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lang w:val="en-US" w:eastAsia="zh-CN"/>
        </w:rPr>
        <w:br w:type="page"/>
      </w:r>
    </w:p>
    <w:p>
      <w:pP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综合评分表</w:t>
      </w:r>
    </w:p>
    <w:p>
      <w:pPr>
        <w:widowControl/>
        <w:spacing w:line="240" w:lineRule="exact"/>
        <w:jc w:val="left"/>
        <w:rPr>
          <w:rFonts w:ascii="方正仿宋_GBK" w:hAnsi="仿宋" w:eastAsia="方正仿宋_GBK" w:cs="宋体"/>
          <w:sz w:val="32"/>
          <w:szCs w:val="32"/>
        </w:rPr>
      </w:pPr>
    </w:p>
    <w:tbl>
      <w:tblPr>
        <w:tblStyle w:val="6"/>
        <w:tblW w:w="13970" w:type="dxa"/>
        <w:tblInd w:w="0" w:type="dxa"/>
        <w:tblLayout w:type="fixed"/>
        <w:tblCellMar>
          <w:top w:w="0" w:type="dxa"/>
          <w:left w:w="0" w:type="dxa"/>
          <w:bottom w:w="0" w:type="dxa"/>
          <w:right w:w="0" w:type="dxa"/>
        </w:tblCellMar>
      </w:tblPr>
      <w:tblGrid>
        <w:gridCol w:w="698"/>
        <w:gridCol w:w="867"/>
        <w:gridCol w:w="1366"/>
        <w:gridCol w:w="3468"/>
        <w:gridCol w:w="883"/>
        <w:gridCol w:w="6000"/>
        <w:gridCol w:w="688"/>
      </w:tblGrid>
      <w:tr>
        <w:tblPrEx>
          <w:tblCellMar>
            <w:top w:w="0" w:type="dxa"/>
            <w:left w:w="0" w:type="dxa"/>
            <w:bottom w:w="0" w:type="dxa"/>
            <w:right w:w="0" w:type="dxa"/>
          </w:tblCellMar>
        </w:tblPrEx>
        <w:trPr>
          <w:cantSplit/>
          <w:trHeight w:val="590" w:hRule="atLeast"/>
          <w:tblHeader/>
        </w:trPr>
        <w:tc>
          <w:tcPr>
            <w:tcW w:w="69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一级指标</w:t>
            </w:r>
          </w:p>
        </w:tc>
        <w:tc>
          <w:tcPr>
            <w:tcW w:w="8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二级指标</w:t>
            </w:r>
          </w:p>
        </w:tc>
        <w:tc>
          <w:tcPr>
            <w:tcW w:w="136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三级指标</w:t>
            </w:r>
          </w:p>
        </w:tc>
        <w:tc>
          <w:tcPr>
            <w:tcW w:w="34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指标解释</w:t>
            </w:r>
          </w:p>
        </w:tc>
        <w:tc>
          <w:tcPr>
            <w:tcW w:w="883"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分值</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指标说明</w:t>
            </w: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得分</w:t>
            </w:r>
          </w:p>
        </w:tc>
      </w:tr>
      <w:tr>
        <w:tblPrEx>
          <w:tblCellMar>
            <w:top w:w="0" w:type="dxa"/>
            <w:left w:w="0" w:type="dxa"/>
            <w:bottom w:w="0" w:type="dxa"/>
            <w:right w:w="0" w:type="dxa"/>
          </w:tblCellMar>
        </w:tblPrEx>
        <w:trPr>
          <w:trHeight w:val="280"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决策（20）</w:t>
            </w: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项目立项（10）　</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立项依据充分性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5</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①项目立项是否符合国家法律法规、国民经济发展规划和相关政策；</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②项目立项是否符合行业发展规划和政策要求；</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③项目立项是否与部门职责范围相符，属于部门履职所需；</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④项目是否属于公共财政支持范围，是否符合中央、地方事权支出责任划分原则；</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⑤项目是否与相关部门同类项目或部门内部相关项目重复。</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立项程序规范性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①项目是否按照规定的程序申请设立；</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②审批文件、材料是否符合相关要求；</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③事前是否已经过必要的可行性研究、专家论证、风险评估、绩效评估、集体决策。</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　　</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绩效目标合理性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3</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3</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（如未设定预算绩效目标，也可考核其他工作任务目标）</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①项目是否有绩效目标；</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②项目绩效目标与实际工作内容是否具有相关性；</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③项目预期产出效益和效果是否符合正常的业绩水平；</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④是否与预算确定的项目投资额或资金量相匹配。</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绩效指标明确性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2</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2</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①是否将项目绩效目标细化分解为具体的绩效指标；</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②是否通过清晰、可衡量的指标值予以体现；</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③是否与项目目标任务数或计划数相对应。</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资金投入</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　　</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预算编制科学性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2</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2</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①预算编制是否经过科学论证；</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②预算内容与项目内容是否匹配；</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③预算额度测算依据是否充分，是否按照标准编制；</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④预算确定的项目投资额或资金量是否与工作任务相匹配。</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资金分配合理性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3</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3</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①预算资金分配依据是否充分；</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②资金分配额度是否合理，与项目单位或地方实际是否相适应。</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过程（20）</w:t>
            </w: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资金管理（12）</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资金到位率（4）</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资金到位率=（实际到位资金/预算资金）×100%。</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实际到位资金：一定时期（本年度或项目期）内落实到具体项目的资金。</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预算执行率（4）</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预算执行率=（实际支出资金/实际到位资金）×100%。</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实际支出资金：一定时期（本年度或项目期）内项目实际拨付的资金。</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资金使用合规性（4）</w:t>
            </w:r>
          </w:p>
        </w:tc>
        <w:tc>
          <w:tcPr>
            <w:tcW w:w="346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46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000"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②资金的拨付是否有完整的审批程序和手续；</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bl>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sectPr>
          <w:pgSz w:w="16838" w:h="11906" w:orient="landscape"/>
          <w:pgMar w:top="1803" w:right="1440" w:bottom="1803" w:left="1440" w:header="851" w:footer="992" w:gutter="0"/>
          <w:pgNumType w:fmt="decimal"/>
          <w:cols w:space="0" w:num="1"/>
          <w:rtlGutter w:val="0"/>
          <w:docGrid w:type="lines" w:linePitch="319" w:charSpace="0"/>
        </w:sectPr>
      </w:pPr>
    </w:p>
    <w:tbl>
      <w:tblPr>
        <w:tblStyle w:val="6"/>
        <w:tblW w:w="13970" w:type="dxa"/>
        <w:tblInd w:w="0" w:type="dxa"/>
        <w:tblLayout w:type="fixed"/>
        <w:tblCellMar>
          <w:top w:w="0" w:type="dxa"/>
          <w:left w:w="0" w:type="dxa"/>
          <w:bottom w:w="0" w:type="dxa"/>
          <w:right w:w="0" w:type="dxa"/>
        </w:tblCellMar>
      </w:tblPr>
      <w:tblGrid>
        <w:gridCol w:w="698"/>
        <w:gridCol w:w="978"/>
        <w:gridCol w:w="1255"/>
        <w:gridCol w:w="3189"/>
        <w:gridCol w:w="990"/>
        <w:gridCol w:w="6172"/>
        <w:gridCol w:w="688"/>
      </w:tblGrid>
      <w:tr>
        <w:tblPrEx>
          <w:tblCellMar>
            <w:top w:w="0" w:type="dxa"/>
            <w:left w:w="0" w:type="dxa"/>
            <w:bottom w:w="0" w:type="dxa"/>
            <w:right w:w="0" w:type="dxa"/>
          </w:tblCellMar>
        </w:tblPrEx>
        <w:trPr>
          <w:trHeight w:val="280" w:hRule="atLeast"/>
        </w:trPr>
        <w:tc>
          <w:tcPr>
            <w:tcW w:w="698"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sz w:val="18"/>
                <w:szCs w:val="18"/>
              </w:rPr>
            </w:pPr>
          </w:p>
        </w:tc>
        <w:tc>
          <w:tcPr>
            <w:tcW w:w="978"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③是否符合项目预算批复或合同规定的用途；</w:t>
            </w:r>
          </w:p>
        </w:tc>
        <w:tc>
          <w:tcPr>
            <w:tcW w:w="688" w:type="dxa"/>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④是否存在截留、挤占、挪用、虚列支出等情况。</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组织实施</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（8）</w:t>
            </w: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管理制度健全性（4）</w:t>
            </w:r>
          </w:p>
        </w:tc>
        <w:tc>
          <w:tcPr>
            <w:tcW w:w="318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①是否已制定或具有相应的财务和业务管理制度；</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②财务和业务管理制度是否合法、合规、完整。</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制度执行有效性（4）</w:t>
            </w:r>
          </w:p>
        </w:tc>
        <w:tc>
          <w:tcPr>
            <w:tcW w:w="318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①是否遵守相关法律法规和相关管理规定；</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②项目调整及支出调整手续是否完备；</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③项目合同书、验收报告、技术鉴定等资料是否齐全并及时归档；</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④项目实施的人员条件、场地设备、信息支撑等是否落实到位。</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产出（40）</w:t>
            </w: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产出数量（10）</w:t>
            </w: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实际完成率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18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实际完成率=（实际产出数/计划产出数）×100%。</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实际产出数：一定时期（本年度或项目期）内项目实际产出的产品或提供的服务数量。</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产出质量（10）</w:t>
            </w: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质量达标率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18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质量达标率=（质量达标产出数/实际产出数）×100%。</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CellMar>
            <w:top w:w="0" w:type="dxa"/>
            <w:left w:w="0" w:type="dxa"/>
            <w:bottom w:w="0" w:type="dxa"/>
            <w:right w:w="0" w:type="dxa"/>
          </w:tblCellMar>
        </w:tblPrEx>
        <w:trPr>
          <w:trHeight w:val="59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产出时效（10）</w:t>
            </w: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完成及时性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18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实际完成时间：项目实施单位完成该项目实际所耗用的时间。</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0" w:type="dxa"/>
            <w:bottom w:w="0" w:type="dxa"/>
            <w:right w:w="0" w:type="dxa"/>
          </w:tblCellMar>
        </w:tblPrEx>
        <w:trPr>
          <w:trHeight w:val="31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计划完成时间：按照项目实施计划或相关规定完成该项目所需的时间。</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5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产出成本（10）</w:t>
            </w:r>
          </w:p>
        </w:tc>
        <w:tc>
          <w:tcPr>
            <w:tcW w:w="125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成本节约率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18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6172" w:type="dxa"/>
            <w:tcBorders>
              <w:top w:val="single" w:color="000000" w:sz="4" w:space="0"/>
              <w:left w:val="nil"/>
              <w:bottom w:val="single" w:color="000000" w:sz="4" w:space="0"/>
              <w:right w:val="single" w:color="000000" w:sz="4" w:space="0"/>
            </w:tcBorders>
            <w:shd w:val="clear" w:color="auto" w:fill="FFFFFF"/>
            <w:noWrap/>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p>
        </w:tc>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实际成本：项目实施单位如期、保质、保量完成既定工作目标实际所耗费的支出。</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318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rPr>
                <w:rFonts w:hint="eastAsia" w:ascii="宋体" w:hAnsi="宋体" w:eastAsia="宋体" w:cs="宋体"/>
                <w:color w:val="000000"/>
                <w:sz w:val="18"/>
                <w:szCs w:val="18"/>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计划成本：项目实施单位为完成工作目标计划安排的支出，一般以项目预算为参考。</w:t>
            </w:r>
          </w:p>
        </w:tc>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560"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效益（20）</w:t>
            </w: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项目效益　</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（20）</w:t>
            </w:r>
          </w:p>
        </w:tc>
        <w:tc>
          <w:tcPr>
            <w:tcW w:w="125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实施效益</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（15）</w:t>
            </w:r>
          </w:p>
        </w:tc>
        <w:tc>
          <w:tcPr>
            <w:tcW w:w="318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项目实施所产生的效益。</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14</w:t>
            </w:r>
          </w:p>
        </w:tc>
      </w:tr>
      <w:tr>
        <w:tblPrEx>
          <w:tblCellMar>
            <w:top w:w="0" w:type="dxa"/>
            <w:left w:w="0" w:type="dxa"/>
            <w:bottom w:w="0" w:type="dxa"/>
            <w:right w:w="0" w:type="dxa"/>
          </w:tblCellMar>
        </w:tblPrEx>
        <w:trPr>
          <w:trHeight w:val="560"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sz w:val="18"/>
                <w:szCs w:val="18"/>
              </w:rPr>
            </w:pPr>
          </w:p>
        </w:tc>
        <w:tc>
          <w:tcPr>
            <w:tcW w:w="125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满意度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w:t>
            </w:r>
          </w:p>
        </w:tc>
        <w:tc>
          <w:tcPr>
            <w:tcW w:w="318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社会公众或服务对象对项目实施效果的满意程度。</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5</w:t>
            </w:r>
          </w:p>
        </w:tc>
        <w:tc>
          <w:tcPr>
            <w:tcW w:w="617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keepNext w:val="0"/>
              <w:keepLines w:val="0"/>
              <w:pageBreakBefore w:val="0"/>
              <w:widowControl/>
              <w:kinsoku/>
              <w:wordWrap/>
              <w:overflowPunct/>
              <w:topLinePunct w:val="0"/>
              <w:autoSpaceDE/>
              <w:autoSpaceDN/>
              <w:bidi w:val="0"/>
              <w:adjustRightInd/>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68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5</w:t>
            </w:r>
          </w:p>
        </w:tc>
      </w:tr>
    </w:tbl>
    <w:p>
      <w:pPr>
        <w:pStyle w:val="2"/>
        <w:sectPr>
          <w:headerReference r:id="rId4" w:type="default"/>
          <w:footerReference r:id="rId5" w:type="default"/>
          <w:pgSz w:w="16838" w:h="11906" w:orient="landscape"/>
          <w:pgMar w:top="1803" w:right="1440" w:bottom="1803" w:left="1440" w:header="851" w:footer="992" w:gutter="0"/>
          <w:pgNumType w:fmt="decimal"/>
          <w:cols w:space="0" w:num="1"/>
          <w:rtlGutter w:val="0"/>
          <w:docGrid w:type="lines" w:linePitch="319" w:charSpace="0"/>
        </w:sectPr>
      </w:pPr>
    </w:p>
    <w:p/>
    <w:p>
      <w:pPr>
        <w:rPr>
          <w:rFonts w:ascii="仿宋_GB2312" w:hAnsi="仿宋_GB2312" w:eastAsia="仿宋_GB2312" w:cs="仿宋_GB2312"/>
          <w:b/>
          <w:bCs/>
          <w:sz w:val="32"/>
          <w:szCs w:val="32"/>
        </w:rPr>
      </w:pPr>
      <w:bookmarkStart w:id="1" w:name="_Toc8841"/>
      <w:r>
        <w:rPr>
          <w:rFonts w:hint="eastAsia" w:ascii="仿宋_GB2312" w:hAnsi="仿宋_GB2312" w:eastAsia="仿宋_GB2312" w:cs="仿宋_GB2312"/>
          <w:b/>
          <w:bCs/>
          <w:sz w:val="32"/>
          <w:szCs w:val="32"/>
        </w:rPr>
        <w:t>附件</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：基础数据采集表</w:t>
      </w:r>
      <w:bookmarkEnd w:id="1"/>
    </w:p>
    <w:tbl>
      <w:tblPr>
        <w:tblStyle w:val="6"/>
        <w:tblW w:w="8522" w:type="dxa"/>
        <w:jc w:val="center"/>
        <w:tblLayout w:type="fixed"/>
        <w:tblCellMar>
          <w:top w:w="0" w:type="dxa"/>
          <w:left w:w="108" w:type="dxa"/>
          <w:bottom w:w="0" w:type="dxa"/>
          <w:right w:w="108" w:type="dxa"/>
        </w:tblCellMar>
      </w:tblPr>
      <w:tblGrid>
        <w:gridCol w:w="1149"/>
        <w:gridCol w:w="146"/>
        <w:gridCol w:w="397"/>
        <w:gridCol w:w="324"/>
        <w:gridCol w:w="494"/>
        <w:gridCol w:w="329"/>
        <w:gridCol w:w="736"/>
        <w:gridCol w:w="781"/>
        <w:gridCol w:w="565"/>
        <w:gridCol w:w="141"/>
        <w:gridCol w:w="856"/>
        <w:gridCol w:w="356"/>
        <w:gridCol w:w="523"/>
        <w:gridCol w:w="689"/>
        <w:gridCol w:w="1036"/>
      </w:tblGrid>
      <w:tr>
        <w:tblPrEx>
          <w:tblCellMar>
            <w:top w:w="0" w:type="dxa"/>
            <w:left w:w="108" w:type="dxa"/>
            <w:bottom w:w="0" w:type="dxa"/>
            <w:right w:w="108" w:type="dxa"/>
          </w:tblCellMar>
        </w:tblPrEx>
        <w:trPr>
          <w:trHeight w:val="229" w:hRule="atLeast"/>
          <w:jc w:val="center"/>
        </w:trPr>
        <w:tc>
          <w:tcPr>
            <w:tcW w:w="4356" w:type="dxa"/>
            <w:gridSpan w:val="8"/>
            <w:tcBorders>
              <w:top w:val="nil"/>
              <w:left w:val="nil"/>
              <w:bottom w:val="nil"/>
              <w:right w:val="nil"/>
            </w:tcBorders>
            <w:noWrap/>
            <w:vAlign w:val="center"/>
          </w:tcPr>
          <w:p>
            <w:pPr>
              <w:widowControl/>
              <w:rPr>
                <w:rFonts w:hint="eastAsia" w:ascii="宋体" w:hAnsi="宋体" w:eastAsia="宋体" w:cs="宋体"/>
                <w:kern w:val="0"/>
                <w:sz w:val="18"/>
                <w:szCs w:val="18"/>
                <w:lang w:eastAsia="zh-CN"/>
              </w:rPr>
            </w:pPr>
            <w:r>
              <w:rPr>
                <w:rFonts w:hint="eastAsia" w:ascii="宋体" w:hAnsi="宋体" w:eastAsia="宋体" w:cs="宋体"/>
                <w:kern w:val="0"/>
                <w:sz w:val="18"/>
                <w:szCs w:val="18"/>
              </w:rPr>
              <w:t>填报单位（公章）：</w:t>
            </w:r>
            <w:r>
              <w:rPr>
                <w:rFonts w:hint="eastAsia" w:ascii="宋体" w:hAnsi="宋体" w:eastAsia="宋体" w:cs="宋体"/>
                <w:kern w:val="0"/>
                <w:sz w:val="18"/>
                <w:szCs w:val="18"/>
                <w:lang w:eastAsia="zh-CN"/>
              </w:rPr>
              <w:t>塔城地区工会办事处</w:t>
            </w:r>
          </w:p>
        </w:tc>
        <w:tc>
          <w:tcPr>
            <w:tcW w:w="4166" w:type="dxa"/>
            <w:gridSpan w:val="7"/>
            <w:tcBorders>
              <w:top w:val="nil"/>
              <w:left w:val="nil"/>
              <w:bottom w:val="single" w:color="auto" w:sz="4" w:space="0"/>
              <w:right w:val="nil"/>
            </w:tcBorders>
            <w:noWrap/>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填报时间：202</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年4月</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日</w:t>
            </w:r>
          </w:p>
        </w:tc>
      </w:tr>
      <w:tr>
        <w:tblPrEx>
          <w:tblCellMar>
            <w:top w:w="0" w:type="dxa"/>
            <w:left w:w="108" w:type="dxa"/>
            <w:bottom w:w="0" w:type="dxa"/>
            <w:right w:w="108" w:type="dxa"/>
          </w:tblCellMar>
        </w:tblPrEx>
        <w:trPr>
          <w:trHeight w:val="276" w:hRule="atLeast"/>
          <w:jc w:val="center"/>
        </w:trPr>
        <w:tc>
          <w:tcPr>
            <w:tcW w:w="8522" w:type="dxa"/>
            <w:gridSpan w:val="15"/>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一、单位基本情况</w:t>
            </w:r>
          </w:p>
        </w:tc>
      </w:tr>
      <w:tr>
        <w:tblPrEx>
          <w:tblCellMar>
            <w:top w:w="0" w:type="dxa"/>
            <w:left w:w="108" w:type="dxa"/>
            <w:bottom w:w="0" w:type="dxa"/>
            <w:right w:w="108" w:type="dxa"/>
          </w:tblCellMar>
        </w:tblPrEx>
        <w:trPr>
          <w:trHeight w:val="276" w:hRule="atLeast"/>
          <w:jc w:val="center"/>
        </w:trPr>
        <w:tc>
          <w:tcPr>
            <w:tcW w:w="1295"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单位名称</w:t>
            </w:r>
          </w:p>
        </w:tc>
        <w:tc>
          <w:tcPr>
            <w:tcW w:w="7227" w:type="dxa"/>
            <w:gridSpan w:val="1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塔城地区工会办事处</w:t>
            </w:r>
          </w:p>
        </w:tc>
      </w:tr>
      <w:tr>
        <w:tblPrEx>
          <w:tblCellMar>
            <w:top w:w="0" w:type="dxa"/>
            <w:left w:w="108" w:type="dxa"/>
            <w:bottom w:w="0" w:type="dxa"/>
            <w:right w:w="108" w:type="dxa"/>
          </w:tblCellMar>
        </w:tblPrEx>
        <w:trPr>
          <w:trHeight w:val="276" w:hRule="atLeast"/>
          <w:jc w:val="center"/>
        </w:trPr>
        <w:tc>
          <w:tcPr>
            <w:tcW w:w="1295"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单位地址</w:t>
            </w:r>
          </w:p>
        </w:tc>
        <w:tc>
          <w:tcPr>
            <w:tcW w:w="7227" w:type="dxa"/>
            <w:gridSpan w:val="1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新疆塔城地区塔城市六和广场创业大厦</w:t>
            </w:r>
            <w:r>
              <w:rPr>
                <w:rFonts w:hint="eastAsia" w:ascii="宋体" w:hAnsi="宋体" w:eastAsia="宋体" w:cs="宋体"/>
                <w:kern w:val="0"/>
                <w:sz w:val="18"/>
                <w:szCs w:val="18"/>
                <w:lang w:val="en-US" w:eastAsia="zh-CN"/>
              </w:rPr>
              <w:t>B</w:t>
            </w:r>
            <w:r>
              <w:rPr>
                <w:rFonts w:hint="eastAsia" w:ascii="宋体" w:hAnsi="宋体" w:eastAsia="宋体" w:cs="宋体"/>
                <w:kern w:val="0"/>
                <w:sz w:val="18"/>
                <w:szCs w:val="18"/>
              </w:rPr>
              <w:t>区</w:t>
            </w: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楼</w:t>
            </w:r>
          </w:p>
        </w:tc>
      </w:tr>
      <w:tr>
        <w:tblPrEx>
          <w:tblCellMar>
            <w:top w:w="0" w:type="dxa"/>
            <w:left w:w="108" w:type="dxa"/>
            <w:bottom w:w="0" w:type="dxa"/>
            <w:right w:w="108" w:type="dxa"/>
          </w:tblCellMar>
        </w:tblPrEx>
        <w:trPr>
          <w:trHeight w:val="276" w:hRule="atLeast"/>
          <w:jc w:val="center"/>
        </w:trPr>
        <w:tc>
          <w:tcPr>
            <w:tcW w:w="1295"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法人类型</w:t>
            </w:r>
          </w:p>
        </w:tc>
        <w:tc>
          <w:tcPr>
            <w:tcW w:w="7227" w:type="dxa"/>
            <w:gridSpan w:val="1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□企业法人；事业法人；□社团法人；□民办非企业法人；□其它</w:t>
            </w:r>
          </w:p>
        </w:tc>
      </w:tr>
      <w:tr>
        <w:tblPrEx>
          <w:tblCellMar>
            <w:top w:w="0" w:type="dxa"/>
            <w:left w:w="108" w:type="dxa"/>
            <w:bottom w:w="0" w:type="dxa"/>
            <w:right w:w="108" w:type="dxa"/>
          </w:tblCellMar>
        </w:tblPrEx>
        <w:trPr>
          <w:trHeight w:val="276" w:hRule="atLeast"/>
          <w:jc w:val="center"/>
        </w:trPr>
        <w:tc>
          <w:tcPr>
            <w:tcW w:w="8522" w:type="dxa"/>
            <w:gridSpan w:val="15"/>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二、项目基本情况</w:t>
            </w:r>
          </w:p>
        </w:tc>
      </w:tr>
      <w:tr>
        <w:tblPrEx>
          <w:tblCellMar>
            <w:top w:w="0" w:type="dxa"/>
            <w:left w:w="108" w:type="dxa"/>
            <w:bottom w:w="0" w:type="dxa"/>
            <w:right w:w="108" w:type="dxa"/>
          </w:tblCellMar>
        </w:tblPrEx>
        <w:trPr>
          <w:trHeight w:val="276" w:hRule="atLeast"/>
          <w:jc w:val="center"/>
        </w:trPr>
        <w:tc>
          <w:tcPr>
            <w:tcW w:w="2016" w:type="dxa"/>
            <w:gridSpan w:val="4"/>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2340"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原社会主义学院工程尾款</w:t>
            </w:r>
          </w:p>
        </w:tc>
        <w:tc>
          <w:tcPr>
            <w:tcW w:w="1562"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项目性质</w:t>
            </w:r>
          </w:p>
        </w:tc>
        <w:tc>
          <w:tcPr>
            <w:tcW w:w="2604"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1.新建□ 2.续建■ 3.改造□</w:t>
            </w:r>
          </w:p>
        </w:tc>
      </w:tr>
      <w:tr>
        <w:tblPrEx>
          <w:tblCellMar>
            <w:top w:w="0" w:type="dxa"/>
            <w:left w:w="108" w:type="dxa"/>
            <w:bottom w:w="0" w:type="dxa"/>
            <w:right w:w="108" w:type="dxa"/>
          </w:tblCellMar>
        </w:tblPrEx>
        <w:trPr>
          <w:trHeight w:val="276" w:hRule="atLeast"/>
          <w:jc w:val="center"/>
        </w:trPr>
        <w:tc>
          <w:tcPr>
            <w:tcW w:w="2016" w:type="dxa"/>
            <w:gridSpan w:val="4"/>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计划投资额</w:t>
            </w:r>
          </w:p>
        </w:tc>
        <w:tc>
          <w:tcPr>
            <w:tcW w:w="2340"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万元</w:t>
            </w:r>
          </w:p>
        </w:tc>
        <w:tc>
          <w:tcPr>
            <w:tcW w:w="1562"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实际投资额</w:t>
            </w:r>
          </w:p>
        </w:tc>
        <w:tc>
          <w:tcPr>
            <w:tcW w:w="2604"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万元</w:t>
            </w:r>
          </w:p>
        </w:tc>
      </w:tr>
      <w:tr>
        <w:tblPrEx>
          <w:tblCellMar>
            <w:top w:w="0" w:type="dxa"/>
            <w:left w:w="108" w:type="dxa"/>
            <w:bottom w:w="0" w:type="dxa"/>
            <w:right w:w="108" w:type="dxa"/>
          </w:tblCellMar>
        </w:tblPrEx>
        <w:trPr>
          <w:trHeight w:val="276" w:hRule="atLeast"/>
          <w:jc w:val="center"/>
        </w:trPr>
        <w:tc>
          <w:tcPr>
            <w:tcW w:w="2016" w:type="dxa"/>
            <w:gridSpan w:val="4"/>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实际开工时间</w:t>
            </w:r>
          </w:p>
        </w:tc>
        <w:tc>
          <w:tcPr>
            <w:tcW w:w="2340"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20</w:t>
            </w:r>
            <w:r>
              <w:rPr>
                <w:rFonts w:hint="eastAsia" w:ascii="宋体" w:hAnsi="宋体" w:eastAsia="宋体" w:cs="宋体"/>
                <w:kern w:val="0"/>
                <w:sz w:val="18"/>
                <w:szCs w:val="18"/>
                <w:lang w:val="en-US" w:eastAsia="zh-CN"/>
              </w:rPr>
              <w:t>20</w:t>
            </w:r>
            <w:r>
              <w:rPr>
                <w:rFonts w:hint="eastAsia" w:ascii="宋体" w:hAnsi="宋体" w:eastAsia="宋体" w:cs="宋体"/>
                <w:kern w:val="0"/>
                <w:sz w:val="18"/>
                <w:szCs w:val="18"/>
              </w:rPr>
              <w:t>年</w:t>
            </w:r>
            <w:r>
              <w:rPr>
                <w:rFonts w:hint="eastAsia" w:ascii="宋体" w:hAnsi="宋体" w:eastAsia="宋体" w:cs="宋体"/>
                <w:kern w:val="0"/>
                <w:sz w:val="18"/>
                <w:szCs w:val="18"/>
                <w:lang w:val="en-US" w:eastAsia="zh-CN"/>
              </w:rPr>
              <w:t>9</w:t>
            </w:r>
            <w:r>
              <w:rPr>
                <w:rFonts w:hint="eastAsia" w:ascii="宋体" w:hAnsi="宋体" w:eastAsia="宋体" w:cs="宋体"/>
                <w:kern w:val="0"/>
                <w:sz w:val="18"/>
                <w:szCs w:val="18"/>
              </w:rPr>
              <w:t>月</w:t>
            </w:r>
          </w:p>
        </w:tc>
        <w:tc>
          <w:tcPr>
            <w:tcW w:w="1562"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实际完工时间</w:t>
            </w:r>
          </w:p>
        </w:tc>
        <w:tc>
          <w:tcPr>
            <w:tcW w:w="2604"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20</w:t>
            </w:r>
            <w:r>
              <w:rPr>
                <w:rFonts w:hint="eastAsia" w:ascii="宋体" w:hAnsi="宋体" w:eastAsia="宋体" w:cs="宋体"/>
                <w:kern w:val="0"/>
                <w:sz w:val="18"/>
                <w:szCs w:val="18"/>
                <w:lang w:val="en-US" w:eastAsia="zh-CN"/>
              </w:rPr>
              <w:t>20</w:t>
            </w:r>
            <w:r>
              <w:rPr>
                <w:rFonts w:hint="eastAsia" w:ascii="宋体" w:hAnsi="宋体" w:eastAsia="宋体" w:cs="宋体"/>
                <w:kern w:val="0"/>
                <w:sz w:val="18"/>
                <w:szCs w:val="18"/>
              </w:rPr>
              <w:t>年12月</w:t>
            </w:r>
          </w:p>
        </w:tc>
      </w:tr>
      <w:tr>
        <w:tblPrEx>
          <w:tblCellMar>
            <w:top w:w="0" w:type="dxa"/>
            <w:left w:w="108" w:type="dxa"/>
            <w:bottom w:w="0" w:type="dxa"/>
            <w:right w:w="108" w:type="dxa"/>
          </w:tblCellMar>
        </w:tblPrEx>
        <w:trPr>
          <w:trHeight w:val="276" w:hRule="atLeast"/>
          <w:jc w:val="center"/>
        </w:trPr>
        <w:tc>
          <w:tcPr>
            <w:tcW w:w="8522" w:type="dxa"/>
            <w:gridSpan w:val="15"/>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三、专项资金情况（万元）</w:t>
            </w:r>
          </w:p>
        </w:tc>
      </w:tr>
      <w:tr>
        <w:tblPrEx>
          <w:tblCellMar>
            <w:top w:w="0" w:type="dxa"/>
            <w:left w:w="108" w:type="dxa"/>
            <w:bottom w:w="0" w:type="dxa"/>
            <w:right w:w="108" w:type="dxa"/>
          </w:tblCellMar>
        </w:tblPrEx>
        <w:trPr>
          <w:trHeight w:val="276" w:hRule="atLeast"/>
          <w:jc w:val="center"/>
        </w:trPr>
        <w:tc>
          <w:tcPr>
            <w:tcW w:w="1149"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申报金额</w:t>
            </w:r>
          </w:p>
        </w:tc>
        <w:tc>
          <w:tcPr>
            <w:tcW w:w="1361" w:type="dxa"/>
            <w:gridSpan w:val="4"/>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金额</w:t>
            </w:r>
          </w:p>
        </w:tc>
        <w:tc>
          <w:tcPr>
            <w:tcW w:w="1065"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到位金额</w:t>
            </w:r>
          </w:p>
        </w:tc>
        <w:tc>
          <w:tcPr>
            <w:tcW w:w="1487"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资金</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到位率%</w:t>
            </w:r>
          </w:p>
        </w:tc>
        <w:tc>
          <w:tcPr>
            <w:tcW w:w="12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实际使用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金额</w:t>
            </w:r>
          </w:p>
        </w:tc>
        <w:tc>
          <w:tcPr>
            <w:tcW w:w="12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资金使用率%</w:t>
            </w:r>
          </w:p>
        </w:tc>
        <w:tc>
          <w:tcPr>
            <w:tcW w:w="10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支持方式</w:t>
            </w:r>
          </w:p>
        </w:tc>
      </w:tr>
      <w:tr>
        <w:tblPrEx>
          <w:tblCellMar>
            <w:top w:w="0" w:type="dxa"/>
            <w:left w:w="108" w:type="dxa"/>
            <w:bottom w:w="0" w:type="dxa"/>
            <w:right w:w="108" w:type="dxa"/>
          </w:tblCellMar>
        </w:tblPrEx>
        <w:trPr>
          <w:trHeight w:val="276" w:hRule="atLeast"/>
          <w:jc w:val="center"/>
        </w:trPr>
        <w:tc>
          <w:tcPr>
            <w:tcW w:w="1149"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万元</w:t>
            </w:r>
          </w:p>
        </w:tc>
        <w:tc>
          <w:tcPr>
            <w:tcW w:w="1361" w:type="dxa"/>
            <w:gridSpan w:val="4"/>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万元</w:t>
            </w:r>
          </w:p>
        </w:tc>
        <w:tc>
          <w:tcPr>
            <w:tcW w:w="1065"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万元</w:t>
            </w:r>
          </w:p>
        </w:tc>
        <w:tc>
          <w:tcPr>
            <w:tcW w:w="1487"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12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万元</w:t>
            </w:r>
          </w:p>
        </w:tc>
        <w:tc>
          <w:tcPr>
            <w:tcW w:w="121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rPr>
              <w:t>%</w:t>
            </w:r>
          </w:p>
        </w:tc>
        <w:tc>
          <w:tcPr>
            <w:tcW w:w="103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财政拨款</w:t>
            </w:r>
          </w:p>
        </w:tc>
      </w:tr>
      <w:tr>
        <w:tblPrEx>
          <w:tblCellMar>
            <w:top w:w="0" w:type="dxa"/>
            <w:left w:w="108" w:type="dxa"/>
            <w:bottom w:w="0" w:type="dxa"/>
            <w:right w:w="108" w:type="dxa"/>
          </w:tblCellMar>
        </w:tblPrEx>
        <w:trPr>
          <w:trHeight w:val="285" w:hRule="atLeast"/>
          <w:jc w:val="center"/>
        </w:trPr>
        <w:tc>
          <w:tcPr>
            <w:tcW w:w="1692" w:type="dxa"/>
            <w:gridSpan w:val="3"/>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项目预期目标</w:t>
            </w:r>
          </w:p>
        </w:tc>
        <w:tc>
          <w:tcPr>
            <w:tcW w:w="6830" w:type="dxa"/>
            <w:gridSpan w:val="1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在岗西部计划志愿者社会保障水平有所改善</w:t>
            </w:r>
          </w:p>
        </w:tc>
      </w:tr>
      <w:tr>
        <w:tblPrEx>
          <w:tblCellMar>
            <w:top w:w="0" w:type="dxa"/>
            <w:left w:w="108" w:type="dxa"/>
            <w:bottom w:w="0" w:type="dxa"/>
            <w:right w:w="108" w:type="dxa"/>
          </w:tblCellMar>
        </w:tblPrEx>
        <w:trPr>
          <w:trHeight w:val="1762" w:hRule="atLeast"/>
          <w:jc w:val="center"/>
        </w:trPr>
        <w:tc>
          <w:tcPr>
            <w:tcW w:w="1149"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项目产出成果</w:t>
            </w:r>
          </w:p>
        </w:tc>
        <w:tc>
          <w:tcPr>
            <w:tcW w:w="7373" w:type="dxa"/>
            <w:gridSpan w:val="14"/>
            <w:tcBorders>
              <w:top w:val="nil"/>
              <w:left w:val="nil"/>
              <w:bottom w:val="single" w:color="auto" w:sz="4" w:space="0"/>
              <w:right w:val="single" w:color="auto" w:sz="4" w:space="0"/>
            </w:tcBorders>
            <w:noWrap/>
            <w:vAlign w:val="center"/>
          </w:tcPr>
          <w:p>
            <w:pPr>
              <w:pStyle w:val="9"/>
              <w:keepNext w:val="0"/>
              <w:keepLines w:val="0"/>
              <w:pageBreakBefore w:val="0"/>
              <w:widowControl/>
              <w:kinsoku/>
              <w:wordWrap/>
              <w:overflowPunct/>
              <w:topLinePunct w:val="0"/>
              <w:autoSpaceDE/>
              <w:autoSpaceDN/>
              <w:bidi w:val="0"/>
              <w:adjustRightInd/>
              <w:snapToGrid/>
              <w:spacing w:line="560" w:lineRule="exact"/>
              <w:ind w:left="0" w:leftChars="0" w:firstLine="360" w:firstLineChars="200"/>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SA"/>
              </w:rPr>
              <w:t>2020年，财政拨款原社会主义学院工程尾款5.2的万元，已支付工程尾款。项目资金预算执行率为100%；从项目的效果看，完成以前年度所欠的工程款，为后期我单位将原社会主义学院土地、房产手续变更到我塔城地区工会名下，做了有力的依据。</w:t>
            </w:r>
          </w:p>
        </w:tc>
      </w:tr>
      <w:tr>
        <w:tblPrEx>
          <w:tblCellMar>
            <w:top w:w="0" w:type="dxa"/>
            <w:left w:w="108" w:type="dxa"/>
            <w:bottom w:w="0" w:type="dxa"/>
            <w:right w:w="108" w:type="dxa"/>
          </w:tblCellMar>
        </w:tblPrEx>
        <w:trPr>
          <w:trHeight w:val="276" w:hRule="atLeast"/>
          <w:jc w:val="center"/>
        </w:trPr>
        <w:tc>
          <w:tcPr>
            <w:tcW w:w="1149"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项目产出效益</w:t>
            </w:r>
          </w:p>
        </w:tc>
        <w:tc>
          <w:tcPr>
            <w:tcW w:w="7373" w:type="dxa"/>
            <w:gridSpan w:val="14"/>
            <w:tcBorders>
              <w:top w:val="nil"/>
              <w:left w:val="nil"/>
              <w:bottom w:val="single" w:color="auto" w:sz="4" w:space="0"/>
              <w:right w:val="single" w:color="auto" w:sz="4" w:space="0"/>
            </w:tcBorders>
            <w:noWrap/>
            <w:vAlign w:val="center"/>
          </w:tcPr>
          <w:p>
            <w:pPr>
              <w:pStyle w:val="9"/>
              <w:keepNext w:val="0"/>
              <w:keepLines w:val="0"/>
              <w:pageBreakBefore w:val="0"/>
              <w:widowControl/>
              <w:kinsoku/>
              <w:wordWrap/>
              <w:overflowPunct/>
              <w:topLinePunct w:val="0"/>
              <w:autoSpaceDE/>
              <w:autoSpaceDN/>
              <w:bidi w:val="0"/>
              <w:adjustRightInd/>
              <w:snapToGrid/>
              <w:spacing w:line="560" w:lineRule="exact"/>
              <w:ind w:firstLine="198"/>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SA"/>
              </w:rPr>
              <w:t>改善城市环境，树立城市形象，提高城市品位，完善城市功能的需要，解决了场 地设施的简陋与严重不足，并将其配套服务提高一个新的水平，更好地满足人民群众日益增长的文化需求，为城市框架，提升城市的品位，扩大对外开放等方面起到积极作用，有着显著的社会效益。</w:t>
            </w:r>
          </w:p>
        </w:tc>
      </w:tr>
      <w:tr>
        <w:tblPrEx>
          <w:tblCellMar>
            <w:top w:w="0" w:type="dxa"/>
            <w:left w:w="108" w:type="dxa"/>
            <w:bottom w:w="0" w:type="dxa"/>
            <w:right w:w="108" w:type="dxa"/>
          </w:tblCellMar>
        </w:tblPrEx>
        <w:trPr>
          <w:trHeight w:val="1672" w:hRule="atLeast"/>
          <w:jc w:val="center"/>
        </w:trPr>
        <w:tc>
          <w:tcPr>
            <w:tcW w:w="1149"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需要说明的问题</w:t>
            </w:r>
          </w:p>
        </w:tc>
        <w:tc>
          <w:tcPr>
            <w:tcW w:w="7373" w:type="dxa"/>
            <w:gridSpan w:val="14"/>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SA"/>
              </w:rPr>
              <w:t>本项目是以前年度社会主义学院欠下 的工程尾款，在和地方财政部门、机关事务局多次沟通下，上报地委，将社会主义学院以前年度收取的房租费归还所欠的工程款，于2020年12月份将已上缴财政的房租款申请回资金52000元。支付了工程尾款。还有剩余尾款需向国投公司再次申请。</w:t>
            </w:r>
          </w:p>
        </w:tc>
      </w:tr>
      <w:tr>
        <w:tblPrEx>
          <w:tblCellMar>
            <w:top w:w="0" w:type="dxa"/>
            <w:left w:w="108" w:type="dxa"/>
            <w:bottom w:w="0" w:type="dxa"/>
            <w:right w:w="108" w:type="dxa"/>
          </w:tblCellMar>
        </w:tblPrEx>
        <w:trPr>
          <w:trHeight w:val="374" w:hRule="atLeast"/>
          <w:jc w:val="center"/>
        </w:trPr>
        <w:tc>
          <w:tcPr>
            <w:tcW w:w="1149"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自评结论</w:t>
            </w:r>
          </w:p>
        </w:tc>
        <w:tc>
          <w:tcPr>
            <w:tcW w:w="7373" w:type="dxa"/>
            <w:gridSpan w:val="14"/>
            <w:tcBorders>
              <w:top w:val="nil"/>
              <w:left w:val="nil"/>
              <w:bottom w:val="single" w:color="auto" w:sz="4" w:space="0"/>
              <w:right w:val="single" w:color="auto" w:sz="4" w:space="0"/>
            </w:tcBorders>
            <w:noWrap/>
            <w:vAlign w:val="top"/>
          </w:tcPr>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项目运行规范有序，资金使用范围合理，项目产出效益突出</w:t>
            </w:r>
          </w:p>
        </w:tc>
      </w:tr>
      <w:tr>
        <w:tblPrEx>
          <w:tblCellMar>
            <w:top w:w="0" w:type="dxa"/>
            <w:left w:w="108" w:type="dxa"/>
            <w:bottom w:w="0" w:type="dxa"/>
            <w:right w:w="108" w:type="dxa"/>
          </w:tblCellMar>
        </w:tblPrEx>
        <w:trPr>
          <w:trHeight w:val="592" w:hRule="atLeast"/>
          <w:jc w:val="center"/>
        </w:trPr>
        <w:tc>
          <w:tcPr>
            <w:tcW w:w="114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问题与建议</w:t>
            </w:r>
          </w:p>
        </w:tc>
        <w:tc>
          <w:tcPr>
            <w:tcW w:w="7373" w:type="dxa"/>
            <w:gridSpan w:val="14"/>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无</w:t>
            </w:r>
          </w:p>
        </w:tc>
      </w:tr>
      <w:tr>
        <w:tblPrEx>
          <w:tblCellMar>
            <w:top w:w="0" w:type="dxa"/>
            <w:left w:w="108" w:type="dxa"/>
            <w:bottom w:w="0" w:type="dxa"/>
            <w:right w:w="108" w:type="dxa"/>
          </w:tblCellMar>
        </w:tblPrEx>
        <w:trPr>
          <w:trHeight w:val="276" w:hRule="atLeast"/>
          <w:jc w:val="center"/>
        </w:trPr>
        <w:tc>
          <w:tcPr>
            <w:tcW w:w="2839" w:type="dxa"/>
            <w:gridSpan w:val="6"/>
            <w:tcBorders>
              <w:top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单位负责人：</w:t>
            </w:r>
            <w:r>
              <w:rPr>
                <w:rFonts w:hint="eastAsia" w:ascii="宋体" w:hAnsi="宋体" w:eastAsia="宋体" w:cs="宋体"/>
                <w:kern w:val="0"/>
                <w:sz w:val="18"/>
                <w:szCs w:val="18"/>
                <w:lang w:eastAsia="zh-CN"/>
              </w:rPr>
              <w:t>潘玉芝</w:t>
            </w:r>
          </w:p>
        </w:tc>
        <w:tc>
          <w:tcPr>
            <w:tcW w:w="2082"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项目负责人：</w:t>
            </w:r>
            <w:r>
              <w:rPr>
                <w:rFonts w:hint="eastAsia" w:ascii="宋体" w:hAnsi="宋体" w:eastAsia="宋体" w:cs="宋体"/>
                <w:sz w:val="18"/>
                <w:szCs w:val="18"/>
                <w:lang w:eastAsia="zh-CN"/>
              </w:rPr>
              <w:t>董金辉</w:t>
            </w:r>
          </w:p>
        </w:tc>
        <w:tc>
          <w:tcPr>
            <w:tcW w:w="1876" w:type="dxa"/>
            <w:gridSpan w:val="4"/>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填报人：</w:t>
            </w:r>
            <w:r>
              <w:rPr>
                <w:rFonts w:hint="eastAsia" w:ascii="宋体" w:hAnsi="宋体" w:eastAsia="宋体" w:cs="宋体"/>
                <w:kern w:val="0"/>
                <w:sz w:val="18"/>
                <w:szCs w:val="18"/>
                <w:lang w:val="en-US" w:eastAsia="zh-CN"/>
              </w:rPr>
              <w:t>罗景荣</w:t>
            </w:r>
          </w:p>
        </w:tc>
        <w:tc>
          <w:tcPr>
            <w:tcW w:w="1725"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联系电话：0901-626</w:t>
            </w:r>
            <w:r>
              <w:rPr>
                <w:rFonts w:hint="eastAsia" w:ascii="宋体" w:hAnsi="宋体" w:eastAsia="宋体" w:cs="宋体"/>
                <w:kern w:val="0"/>
                <w:sz w:val="18"/>
                <w:szCs w:val="18"/>
                <w:lang w:val="en-US" w:eastAsia="zh-CN"/>
              </w:rPr>
              <w:t>8913</w:t>
            </w:r>
          </w:p>
        </w:tc>
      </w:tr>
    </w:tbl>
    <w:p>
      <w:pPr>
        <w:pStyle w:val="2"/>
        <w:jc w:val="both"/>
      </w:pPr>
    </w:p>
    <w:sectPr>
      <w:headerReference r:id="rId6" w:type="default"/>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K">
    <w:altName w:val="Arial Unicode MS"/>
    <w:panose1 w:val="02000000000000000000"/>
    <w:charset w:val="86"/>
    <w:family w:val="script"/>
    <w:pitch w:val="default"/>
    <w:sig w:usb0="00000000" w:usb1="00000000" w:usb2="00082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2200336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2"/>
                    </w:pP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5C6BF8"/>
    <w:multiLevelType w:val="singleLevel"/>
    <w:tmpl w:val="EE5C6BF8"/>
    <w:lvl w:ilvl="0" w:tentative="0">
      <w:start w:val="2"/>
      <w:numFmt w:val="decimal"/>
      <w:suff w:val="nothing"/>
      <w:lvlText w:val="%1、"/>
      <w:lvlJc w:val="left"/>
    </w:lvl>
  </w:abstractNum>
  <w:abstractNum w:abstractNumId="1">
    <w:nsid w:val="3730CCE4"/>
    <w:multiLevelType w:val="singleLevel"/>
    <w:tmpl w:val="3730CCE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20176"/>
    <w:rsid w:val="0C4F2792"/>
    <w:rsid w:val="0EFB27AF"/>
    <w:rsid w:val="2FEF3FB0"/>
    <w:rsid w:val="35831BDA"/>
    <w:rsid w:val="4A4C753E"/>
    <w:rsid w:val="63390B3C"/>
    <w:rsid w:val="642F736E"/>
    <w:rsid w:val="659404A5"/>
    <w:rsid w:val="75F20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paragraph" w:customStyle="1" w:styleId="9">
    <w:name w:val="闻政-正文段落文字"/>
    <w:basedOn w:val="1"/>
    <w:qFormat/>
    <w:uiPriority w:val="3"/>
    <w:pPr>
      <w:spacing w:line="500" w:lineRule="exact"/>
      <w:ind w:firstLine="200"/>
    </w:pPr>
    <w:rPr>
      <w:rFonts w:ascii="Times New Roman" w:hAnsi="Times New Roman" w:cs="Times New Roman"/>
      <w:kern w:val="0"/>
      <w:szCs w:val="28"/>
    </w:rPr>
  </w:style>
  <w:style w:type="paragraph" w:styleId="10">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character" w:customStyle="1" w:styleId="11">
    <w:name w:val="font31"/>
    <w:basedOn w:val="7"/>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2021-04-14T10:08:00Z</dcterms:created>
  <dc:creator>Administrator</dc:creator>
  <cp:lastModifiedBy>dell-dell</cp:lastModifiedBy>
  <dcterms:modified xsi:type="dcterms:W3CDTF">2021-05-29T09:52:10Z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11107E2B75EF44E19513A38370F44541</vt:lpwstr>
  </property>
  <property fmtid="{D5CDD505-2E9C-101B-9397-08002B2CF9AE}" pid="4" name="KSOSaveFontToCloudKey">
    <vt:lpwstr>390855185_btnclosed</vt:lpwstr>
  </property>
</Properties>
</file>